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77E6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14:paraId="10646CBE" w14:textId="2FCE15FD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Para poder realizar la </w:t>
      </w:r>
      <w:r>
        <w:rPr>
          <w:rFonts w:ascii="Calibri" w:hAnsi="Calibri" w:cs="Calibri"/>
          <w:color w:val="000000"/>
          <w:bdr w:val="none" w:sz="0" w:space="0" w:color="auto" w:frame="1"/>
        </w:rPr>
        <w:t>importación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de los productos asociados a una </w:t>
      </w:r>
      <w:r>
        <w:rPr>
          <w:rFonts w:ascii="Calibri" w:hAnsi="Calibri" w:cs="Calibri"/>
          <w:color w:val="000000"/>
          <w:bdr w:val="none" w:sz="0" w:space="0" w:color="auto" w:frame="1"/>
        </w:rPr>
        <w:t>investigación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>biomédica</w:t>
      </w:r>
      <w:r>
        <w:rPr>
          <w:rFonts w:ascii="Calibri" w:hAnsi="Calibri" w:cs="Calibri"/>
          <w:color w:val="000000"/>
          <w:bdr w:val="none" w:sz="0" w:space="0" w:color="auto" w:frame="1"/>
        </w:rPr>
        <w:t>, se debe de cumplir con lo establecido en el Decreto Ejecutivo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39061-S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00FE7E83">
        <w:rPr>
          <w:rFonts w:ascii="Calibri" w:hAnsi="Calibri" w:cs="Calibri"/>
          <w:color w:val="000000"/>
          <w:bdr w:val="none" w:sz="0" w:space="0" w:color="auto" w:frame="1"/>
        </w:rPr>
        <w:t>artículo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55, el cual reza:</w:t>
      </w:r>
    </w:p>
    <w:p w14:paraId="77AC5CCF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A715C59" w14:textId="0E8775C9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"Artículo 55.-De los requisitos para la importación</w:t>
      </w:r>
      <w:r>
        <w:rPr>
          <w:rFonts w:ascii="Calibri" w:hAnsi="Calibri" w:cs="Calibri"/>
          <w:color w:val="000000"/>
          <w:bdr w:val="none" w:sz="0" w:space="0" w:color="auto" w:frame="1"/>
        </w:rPr>
        <w:t>”.</w:t>
      </w:r>
    </w:p>
    <w:p w14:paraId="59F09294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042293D" w14:textId="5F9DC49F" w:rsidR="00FE058B" w:rsidRDefault="00FE058B" w:rsidP="00FE05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La importación del producto en investigación, incluyendo medicamentos, equipos, dispositivos, insumos de laboratorio, accesorios y otros suministros que se cataloguen como productos de interés sanitario relacionados con la investigación sólo se podrá realizar una vez que la investigación se encuentre d</w:t>
      </w:r>
      <w:r>
        <w:rPr>
          <w:rFonts w:ascii="Calibri" w:hAnsi="Calibri" w:cs="Calibri"/>
          <w:color w:val="000000"/>
          <w:u w:val="single"/>
          <w:bdr w:val="none" w:sz="0" w:space="0" w:color="auto" w:frame="1"/>
        </w:rPr>
        <w:t xml:space="preserve">ebidamente aprobada por el CEC y registrada ante el </w:t>
      </w:r>
      <w:r w:rsidR="00C63A9C">
        <w:rPr>
          <w:rFonts w:ascii="Calibri" w:hAnsi="Calibri" w:cs="Calibri"/>
          <w:color w:val="000000"/>
          <w:u w:val="single"/>
          <w:bdr w:val="none" w:sz="0" w:space="0" w:color="auto" w:frame="1"/>
        </w:rPr>
        <w:t>CONIS</w:t>
      </w:r>
      <w:r>
        <w:rPr>
          <w:rFonts w:ascii="Calibri" w:hAnsi="Calibri" w:cs="Calibri"/>
          <w:color w:val="000000"/>
          <w:bdr w:val="none" w:sz="0" w:space="0" w:color="auto" w:frame="1"/>
        </w:rPr>
        <w:t>. En el caso de que el producto en investigación se catalogue como medicamento psicotrópico, estupefaciente o precursor, se requiere la aprobación previa del Permiso de Importación de la Junta de Vigilancia de Drogas del Ministerio de Salud</w:t>
      </w:r>
    </w:p>
    <w:p w14:paraId="7D342635" w14:textId="4BE7264E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color w:val="201F1E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Por favor adjunta la carta de 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aprobación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del CEC</w:t>
      </w:r>
      <w:r w:rsidR="00FE7E83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.</w:t>
      </w:r>
    </w:p>
    <w:p w14:paraId="54AAB56A" w14:textId="0465FD00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33FE8E95" w14:textId="576D51B1" w:rsidR="00FE058B" w:rsidRDefault="00FE058B" w:rsidP="00FE05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Antes de que pueda realizarse la primera importación, el investigador o el importador responsable debe presentar al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Conis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en el formato que ésta defina, un listado que incluya la cantidad de unidades del producto en investigación y otros suministros de interés sanitario que se estima necesario importar para completar la investigación, este debe ser previamente aprobado por el CEC correspondiente. La información será utilizada por el C</w:t>
      </w:r>
      <w:r w:rsidR="00C63A9C">
        <w:rPr>
          <w:rFonts w:ascii="Calibri" w:hAnsi="Calibri" w:cs="Calibri"/>
          <w:color w:val="000000"/>
          <w:bdr w:val="none" w:sz="0" w:space="0" w:color="auto" w:frame="1"/>
        </w:rPr>
        <w:t xml:space="preserve">ONIS </w:t>
      </w:r>
      <w:r>
        <w:rPr>
          <w:rFonts w:ascii="Calibri" w:hAnsi="Calibri" w:cs="Calibri"/>
          <w:color w:val="000000"/>
          <w:bdr w:val="none" w:sz="0" w:space="0" w:color="auto" w:frame="1"/>
        </w:rPr>
        <w:t>como referencia para dar trámite a la autorización sanitaria que deba brindar como parte de trámite aduanal de cada importación que se realice durante el estudio. Cualquier incremento en las cantidades originalmente proyectadas requiere una nueva aprobación.</w:t>
      </w:r>
    </w:p>
    <w:p w14:paraId="47B0B342" w14:textId="6B1506F9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Se adjunta plantilla de reporte que se debe de enviar cada vez que se realice una </w:t>
      </w:r>
      <w:r w:rsidR="00C63A9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importación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</w:t>
      </w:r>
      <w:r w:rsidR="00C63A9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debidamente 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completa</w:t>
      </w:r>
      <w:r w:rsidR="00C63A9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.</w:t>
      </w:r>
    </w:p>
    <w:p w14:paraId="60D9CF9B" w14:textId="155A5660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1EFE44FA" w14:textId="4C86A15C" w:rsidR="00FE058B" w:rsidRDefault="00FE058B" w:rsidP="00FE05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En el caso de que el producto en investigación sea un producto farmacéutico, la importación solo podrá ser realizada por droguerías registradas. La</w:t>
      </w:r>
      <w:r w:rsidR="00C63A9C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u w:val="single"/>
          <w:bdr w:val="none" w:sz="0" w:space="0" w:color="auto" w:frame="1"/>
        </w:rPr>
        <w:t>droguería responsable de tramitar el permiso para la liberación del producto debe garantizar que todas las operaciones de importación, almacenamiento, distribución y disposición final de dicho producto a su cargo</w:t>
      </w:r>
      <w:r w:rsidR="00C63A9C">
        <w:rPr>
          <w:rFonts w:ascii="Calibri" w:hAnsi="Calibri" w:cs="Calibri"/>
          <w:color w:val="000000"/>
          <w:u w:val="single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se lleve a cabo de conformidad con lo establecido en el Decreto Ejecutivo N° 37700-S del 29 de enero del 2013 "Reglamento de Buenas Prácticas de Almacenamiento y Distribución de Medicamentos en Droguerías", publicado en el Alcance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Nº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96 a La Gaceta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Nº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100 del 27 de mayo del 2013, así como a las Buenas Prácticas Clínicas y el protocolo de la investigación.</w:t>
      </w:r>
    </w:p>
    <w:p w14:paraId="1BA8F23B" w14:textId="3E2B2A68" w:rsidR="00FE058B" w:rsidRDefault="00FE058B" w:rsidP="00C63A9C">
      <w:pPr>
        <w:pStyle w:val="NormalWeb"/>
        <w:shd w:val="clear" w:color="auto" w:fill="FFFFFF"/>
        <w:spacing w:before="0" w:beforeAutospacing="0" w:after="0" w:afterAutospacing="0"/>
        <w:ind w:left="360" w:firstLine="708"/>
        <w:jc w:val="center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Adjuntar el permiso de funcionamiento de la </w:t>
      </w:r>
      <w:r w:rsidR="00C63A9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droguería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donde se almacenar</w:t>
      </w:r>
      <w:r w:rsidR="00C63A9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á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el producto a importar.</w:t>
      </w:r>
    </w:p>
    <w:p w14:paraId="3B6178E2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5673977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4144906" w14:textId="60EC061D" w:rsidR="00FE058B" w:rsidRDefault="00FE058B" w:rsidP="00C63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 xml:space="preserve">En el caso de productos en investigación que sean derivados sanguíneos de origen humano o de productos farmacéuticos que los contengan, la droguería importadora debe solicitar y custodiar para cada lote de producto, </w:t>
      </w:r>
      <w:r w:rsidRPr="00C63A9C">
        <w:rPr>
          <w:rFonts w:ascii="Calibri" w:hAnsi="Calibri" w:cs="Calibri"/>
          <w:b/>
          <w:bCs/>
          <w:color w:val="000000"/>
          <w:bdr w:val="none" w:sz="0" w:space="0" w:color="auto" w:frame="1"/>
        </w:rPr>
        <w:t>e</w:t>
      </w:r>
      <w:r w:rsidRPr="00C63A9C"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l c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ertificado firmado por el responsable del laboratorio fabricante de que el producto está libre del virus del VIH, hepatitis B y C, citomegalovirus, parvovirus B19 según lo establecido en el artículo 9º inciso 9.2) del Decreto Ejecutivo </w:t>
      </w:r>
      <w:proofErr w:type="spellStart"/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Nº</w:t>
      </w:r>
      <w:proofErr w:type="spellEnd"/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 xml:space="preserve"> 37006-S del 15 de noviembre del 2011 ¨Reglamento Técnico: RTCR 440: 2010. 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Reglamento de Inscripción y Control de Medicamentos Biológicos¨, publicado en La Gaceta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Nº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59 de fecha 22 de marzo del 2012. e) En el caso de la importación de materia prima para la fabricación de productos en investigación, el importador, laboratorio fabricante o droguería, debe contar con el Permiso Sanitario de Funcionamiento vigente.</w:t>
      </w:r>
    </w:p>
    <w:p w14:paraId="194226E6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                            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Adjuntar certificado solo si aplica.</w:t>
      </w:r>
    </w:p>
    <w:p w14:paraId="19DB167B" w14:textId="77777777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4FA26C2" w14:textId="5739FBFE" w:rsidR="00FE058B" w:rsidRDefault="00FE058B" w:rsidP="00C63A9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En el caso de la importación de materia prima para la fabricación de productos en investigación, el importador, laboratorio fabricante o droguería, debe contar con </w:t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</w:rPr>
        <w:t>el Permiso Sanitario de Funcionamiento vigente."</w:t>
      </w:r>
    </w:p>
    <w:p w14:paraId="0BAD8B30" w14:textId="6A4FC3FD" w:rsidR="00FE058B" w:rsidRDefault="00FE058B" w:rsidP="00FE05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                        </w:t>
      </w:r>
      <w:r w:rsidR="00C63A9C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Adjuntar el permiso de funcionamiento.</w:t>
      </w:r>
    </w:p>
    <w:p w14:paraId="6544E900" w14:textId="18912711" w:rsidR="00FE058B" w:rsidRDefault="00FE058B" w:rsidP="00C63A9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52DFDF1A" w14:textId="77777777" w:rsidR="00584690" w:rsidRDefault="00584690"/>
    <w:sectPr w:rsidR="00584690" w:rsidSect="00FE7E83">
      <w:pgSz w:w="12240" w:h="15840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7E0"/>
    <w:multiLevelType w:val="hybridMultilevel"/>
    <w:tmpl w:val="36E672A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8B"/>
    <w:rsid w:val="00584690"/>
    <w:rsid w:val="006F5BE9"/>
    <w:rsid w:val="00C63A9C"/>
    <w:rsid w:val="00FE05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78A"/>
  <w15:chartTrackingRefBased/>
  <w15:docId w15:val="{BD2323DE-9821-4A76-9785-B6134151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3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Alejandra Romero Poveda</dc:creator>
  <cp:keywords/>
  <dc:description/>
  <cp:lastModifiedBy>Martha Alejandra Romero Poveda</cp:lastModifiedBy>
  <cp:revision>3</cp:revision>
  <dcterms:created xsi:type="dcterms:W3CDTF">2021-04-13T22:01:00Z</dcterms:created>
  <dcterms:modified xsi:type="dcterms:W3CDTF">2021-04-13T23:23:00Z</dcterms:modified>
</cp:coreProperties>
</file>