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5C61" w14:textId="374D0FFA" w:rsidR="003D6A98" w:rsidRPr="00DC1556" w:rsidRDefault="003D6A98" w:rsidP="00717759">
      <w:pPr>
        <w:spacing w:line="360" w:lineRule="auto"/>
        <w:jc w:val="right"/>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MS-AJ-CB-</w:t>
      </w:r>
      <w:r w:rsidR="00717759" w:rsidRPr="00DC1556">
        <w:rPr>
          <w:rFonts w:ascii="Times New Roman" w:hAnsi="Times New Roman" w:cs="Times New Roman"/>
          <w:b/>
          <w:bCs/>
          <w:color w:val="000000" w:themeColor="text1"/>
          <w:sz w:val="24"/>
          <w:szCs w:val="24"/>
        </w:rPr>
        <w:t>2122-2026</w:t>
      </w:r>
    </w:p>
    <w:p w14:paraId="71276BC1" w14:textId="77777777" w:rsidR="00511F4B" w:rsidRPr="00DC1556" w:rsidRDefault="00511F4B" w:rsidP="00511F4B">
      <w:pPr>
        <w:spacing w:after="0" w:line="240" w:lineRule="auto"/>
        <w:jc w:val="center"/>
        <w:rPr>
          <w:rFonts w:ascii="Times New Roman" w:hAnsi="Times New Roman" w:cs="Times New Roman"/>
          <w:b/>
          <w:bCs/>
          <w:color w:val="000000" w:themeColor="text1"/>
          <w:sz w:val="24"/>
          <w:szCs w:val="24"/>
        </w:rPr>
      </w:pPr>
    </w:p>
    <w:p w14:paraId="519C5DC7" w14:textId="63FF6646" w:rsidR="00C17D3A" w:rsidRPr="00DC1556" w:rsidRDefault="00C17D3A" w:rsidP="00511F4B">
      <w:pPr>
        <w:spacing w:after="0" w:line="240" w:lineRule="auto"/>
        <w:jc w:val="center"/>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 xml:space="preserve">DECRETO EJECUTIVO </w:t>
      </w:r>
      <w:proofErr w:type="spellStart"/>
      <w:r w:rsidRPr="00DC1556">
        <w:rPr>
          <w:rFonts w:ascii="Times New Roman" w:hAnsi="Times New Roman" w:cs="Times New Roman"/>
          <w:b/>
          <w:bCs/>
          <w:color w:val="000000" w:themeColor="text1"/>
          <w:sz w:val="24"/>
          <w:szCs w:val="24"/>
        </w:rPr>
        <w:t>N°</w:t>
      </w:r>
      <w:proofErr w:type="spellEnd"/>
      <w:r w:rsidR="00717759" w:rsidRPr="00DC1556">
        <w:rPr>
          <w:rFonts w:ascii="Times New Roman" w:hAnsi="Times New Roman" w:cs="Times New Roman"/>
          <w:b/>
          <w:bCs/>
          <w:color w:val="000000" w:themeColor="text1"/>
          <w:sz w:val="24"/>
          <w:szCs w:val="24"/>
        </w:rPr>
        <w:t xml:space="preserve">       </w:t>
      </w:r>
      <w:r w:rsidR="002C3777" w:rsidRPr="00DC1556">
        <w:rPr>
          <w:rFonts w:ascii="Times New Roman" w:hAnsi="Times New Roman" w:cs="Times New Roman"/>
          <w:b/>
          <w:bCs/>
          <w:color w:val="000000" w:themeColor="text1"/>
          <w:sz w:val="24"/>
          <w:szCs w:val="24"/>
        </w:rPr>
        <w:t xml:space="preserve">  </w:t>
      </w:r>
      <w:r w:rsidR="00717759" w:rsidRPr="00DC1556">
        <w:rPr>
          <w:rFonts w:ascii="Times New Roman" w:hAnsi="Times New Roman" w:cs="Times New Roman"/>
          <w:b/>
          <w:bCs/>
          <w:color w:val="000000" w:themeColor="text1"/>
          <w:sz w:val="24"/>
          <w:szCs w:val="24"/>
        </w:rPr>
        <w:t xml:space="preserve">      </w:t>
      </w:r>
      <w:r w:rsidR="00477873" w:rsidRPr="00DC1556">
        <w:rPr>
          <w:rFonts w:ascii="Times New Roman" w:hAnsi="Times New Roman" w:cs="Times New Roman"/>
          <w:b/>
          <w:bCs/>
          <w:color w:val="000000" w:themeColor="text1"/>
          <w:sz w:val="24"/>
          <w:szCs w:val="24"/>
        </w:rPr>
        <w:t xml:space="preserve">       </w:t>
      </w:r>
      <w:r w:rsidR="00717759" w:rsidRPr="00DC1556">
        <w:rPr>
          <w:rFonts w:ascii="Times New Roman" w:hAnsi="Times New Roman" w:cs="Times New Roman"/>
          <w:b/>
          <w:bCs/>
          <w:color w:val="000000" w:themeColor="text1"/>
          <w:sz w:val="24"/>
          <w:szCs w:val="24"/>
        </w:rPr>
        <w:t xml:space="preserve">           </w:t>
      </w:r>
      <w:r w:rsidRPr="00DC1556">
        <w:rPr>
          <w:rFonts w:ascii="Times New Roman" w:hAnsi="Times New Roman" w:cs="Times New Roman"/>
          <w:b/>
          <w:bCs/>
          <w:color w:val="000000" w:themeColor="text1"/>
          <w:sz w:val="24"/>
          <w:szCs w:val="24"/>
        </w:rPr>
        <w:t>-S</w:t>
      </w:r>
    </w:p>
    <w:p w14:paraId="223E551F" w14:textId="77777777" w:rsidR="0043727F" w:rsidRPr="00DC1556" w:rsidRDefault="0043727F" w:rsidP="00511F4B">
      <w:pPr>
        <w:spacing w:after="0" w:line="240" w:lineRule="auto"/>
        <w:jc w:val="center"/>
        <w:rPr>
          <w:rFonts w:ascii="Times New Roman" w:hAnsi="Times New Roman" w:cs="Times New Roman"/>
          <w:b/>
          <w:bCs/>
          <w:color w:val="000000" w:themeColor="text1"/>
          <w:sz w:val="24"/>
          <w:szCs w:val="24"/>
        </w:rPr>
      </w:pPr>
    </w:p>
    <w:p w14:paraId="76C68683" w14:textId="51D98E8B" w:rsidR="00C17D3A" w:rsidRPr="00DC1556" w:rsidRDefault="00C17D3A" w:rsidP="00511F4B">
      <w:pPr>
        <w:spacing w:after="0" w:line="240" w:lineRule="auto"/>
        <w:jc w:val="center"/>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L</w:t>
      </w:r>
      <w:r w:rsidR="00FB2B4E" w:rsidRPr="00DC1556">
        <w:rPr>
          <w:rFonts w:ascii="Times New Roman" w:hAnsi="Times New Roman" w:cs="Times New Roman"/>
          <w:b/>
          <w:bCs/>
          <w:color w:val="000000" w:themeColor="text1"/>
          <w:sz w:val="24"/>
          <w:szCs w:val="24"/>
        </w:rPr>
        <w:t>A</w:t>
      </w:r>
      <w:r w:rsidRPr="00DC1556">
        <w:rPr>
          <w:rFonts w:ascii="Times New Roman" w:hAnsi="Times New Roman" w:cs="Times New Roman"/>
          <w:b/>
          <w:bCs/>
          <w:color w:val="000000" w:themeColor="text1"/>
          <w:sz w:val="24"/>
          <w:szCs w:val="24"/>
        </w:rPr>
        <w:t xml:space="preserve"> PRESIDENTE DE LA REPÚBLICA</w:t>
      </w:r>
    </w:p>
    <w:p w14:paraId="39234D05" w14:textId="77777777" w:rsidR="00C17D3A" w:rsidRPr="00DC1556" w:rsidRDefault="00C17D3A" w:rsidP="00511F4B">
      <w:pPr>
        <w:spacing w:after="0" w:line="240" w:lineRule="auto"/>
        <w:jc w:val="center"/>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Y EL MINISTRO DE SALUD</w:t>
      </w:r>
    </w:p>
    <w:p w14:paraId="1A4E955B" w14:textId="77777777" w:rsidR="00C17D3A" w:rsidRPr="00DC1556" w:rsidRDefault="00C17D3A" w:rsidP="00C17D3A">
      <w:pPr>
        <w:spacing w:line="360" w:lineRule="auto"/>
        <w:jc w:val="both"/>
        <w:rPr>
          <w:rFonts w:ascii="Times New Roman" w:hAnsi="Times New Roman" w:cs="Times New Roman"/>
          <w:color w:val="000000" w:themeColor="text1"/>
          <w:sz w:val="24"/>
          <w:szCs w:val="24"/>
        </w:rPr>
      </w:pPr>
    </w:p>
    <w:p w14:paraId="350A9ED8" w14:textId="0F0E963E" w:rsidR="00C17D3A" w:rsidRPr="00DC1556" w:rsidRDefault="00C17D3A"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color w:val="000000" w:themeColor="text1"/>
          <w:sz w:val="24"/>
          <w:szCs w:val="24"/>
        </w:rPr>
        <w:t xml:space="preserve">Con fundamento </w:t>
      </w:r>
      <w:r w:rsidR="0043727F" w:rsidRPr="00DC1556">
        <w:rPr>
          <w:rFonts w:ascii="Times New Roman" w:hAnsi="Times New Roman" w:cs="Times New Roman"/>
          <w:color w:val="000000" w:themeColor="text1"/>
          <w:sz w:val="24"/>
          <w:szCs w:val="24"/>
        </w:rPr>
        <w:t xml:space="preserve">en las atribuciones y facultades conferidas </w:t>
      </w:r>
      <w:r w:rsidRPr="00DC1556">
        <w:rPr>
          <w:rFonts w:ascii="Times New Roman" w:hAnsi="Times New Roman" w:cs="Times New Roman"/>
          <w:color w:val="000000" w:themeColor="text1"/>
          <w:sz w:val="24"/>
          <w:szCs w:val="24"/>
        </w:rPr>
        <w:t xml:space="preserve">en los artículos 140 incisos 3) y 18), y 146 de la Constitución Política; </w:t>
      </w:r>
      <w:r w:rsidR="00122F6C" w:rsidRPr="00DC1556">
        <w:rPr>
          <w:rFonts w:ascii="Times New Roman" w:hAnsi="Times New Roman" w:cs="Times New Roman"/>
          <w:color w:val="000000" w:themeColor="text1"/>
          <w:sz w:val="24"/>
          <w:szCs w:val="24"/>
        </w:rPr>
        <w:t xml:space="preserve">25 inciso 1), 27 inciso 1), 28 inciso 2) acápite b) y 103 inciso 1) de la </w:t>
      </w:r>
      <w:r w:rsidR="0040522E" w:rsidRPr="00DC1556">
        <w:rPr>
          <w:rFonts w:ascii="Times New Roman" w:hAnsi="Times New Roman" w:cs="Times New Roman"/>
          <w:color w:val="000000" w:themeColor="text1"/>
          <w:sz w:val="24"/>
          <w:szCs w:val="24"/>
        </w:rPr>
        <w:t>“</w:t>
      </w:r>
      <w:r w:rsidRPr="00DC1556">
        <w:rPr>
          <w:rFonts w:ascii="Times New Roman" w:hAnsi="Times New Roman" w:cs="Times New Roman"/>
          <w:color w:val="000000" w:themeColor="text1"/>
          <w:sz w:val="24"/>
          <w:szCs w:val="24"/>
        </w:rPr>
        <w:t>Ley General de la Administración Pública</w:t>
      </w:r>
      <w:r w:rsidR="0040522E" w:rsidRPr="00DC1556">
        <w:rPr>
          <w:rFonts w:ascii="Times New Roman" w:hAnsi="Times New Roman" w:cs="Times New Roman"/>
          <w:color w:val="000000" w:themeColor="text1"/>
          <w:sz w:val="24"/>
          <w:szCs w:val="24"/>
        </w:rPr>
        <w:t>”</w:t>
      </w:r>
      <w:r w:rsidRPr="00DC1556">
        <w:rPr>
          <w:rFonts w:ascii="Times New Roman" w:hAnsi="Times New Roman" w:cs="Times New Roman"/>
          <w:color w:val="000000" w:themeColor="text1"/>
          <w:sz w:val="24"/>
          <w:szCs w:val="24"/>
        </w:rPr>
        <w:t xml:space="preserve">, N°6227 del 2 de mayo de 1978; </w:t>
      </w:r>
      <w:r w:rsidR="00F63D14" w:rsidRPr="00DC1556">
        <w:rPr>
          <w:rFonts w:ascii="Times New Roman" w:hAnsi="Times New Roman" w:cs="Times New Roman"/>
          <w:color w:val="000000" w:themeColor="text1"/>
          <w:sz w:val="24"/>
          <w:szCs w:val="24"/>
        </w:rPr>
        <w:t xml:space="preserve">2, 4, 7, 37, 38, 39, 294, 297, 302, 304, 337, 347, 349, 355 y 364 de la </w:t>
      </w:r>
      <w:r w:rsidR="0040522E" w:rsidRPr="00DC1556">
        <w:rPr>
          <w:rFonts w:ascii="Times New Roman" w:hAnsi="Times New Roman" w:cs="Times New Roman"/>
          <w:color w:val="000000" w:themeColor="text1"/>
          <w:sz w:val="24"/>
          <w:szCs w:val="24"/>
        </w:rPr>
        <w:t xml:space="preserve">"Ley General de Salud", </w:t>
      </w:r>
      <w:r w:rsidR="00F63D14" w:rsidRPr="00DC1556">
        <w:rPr>
          <w:rFonts w:ascii="Times New Roman" w:hAnsi="Times New Roman" w:cs="Times New Roman"/>
          <w:color w:val="000000" w:themeColor="text1"/>
          <w:sz w:val="24"/>
          <w:szCs w:val="24"/>
        </w:rPr>
        <w:t xml:space="preserve">N°5395 del 30 de octubre de 1973; 2, inciso c) y 6 de la </w:t>
      </w:r>
      <w:r w:rsidR="0040522E" w:rsidRPr="00DC1556">
        <w:rPr>
          <w:rFonts w:ascii="Times New Roman" w:hAnsi="Times New Roman" w:cs="Times New Roman"/>
          <w:color w:val="000000" w:themeColor="text1"/>
          <w:sz w:val="24"/>
          <w:szCs w:val="24"/>
        </w:rPr>
        <w:t xml:space="preserve">"Ley Orgánica del Ministerio de Salud", </w:t>
      </w:r>
      <w:r w:rsidR="00F63D14" w:rsidRPr="00DC1556">
        <w:rPr>
          <w:rFonts w:ascii="Times New Roman" w:hAnsi="Times New Roman" w:cs="Times New Roman"/>
          <w:color w:val="000000" w:themeColor="text1"/>
          <w:sz w:val="24"/>
          <w:szCs w:val="24"/>
        </w:rPr>
        <w:t>N°5412 del 8 de noviembre de 1973</w:t>
      </w:r>
      <w:r w:rsidR="007B6C26" w:rsidRPr="00DC1556">
        <w:rPr>
          <w:rFonts w:ascii="Times New Roman" w:hAnsi="Times New Roman" w:cs="Times New Roman"/>
          <w:color w:val="000000" w:themeColor="text1"/>
          <w:sz w:val="24"/>
          <w:szCs w:val="24"/>
        </w:rPr>
        <w:t xml:space="preserve"> y el </w:t>
      </w:r>
      <w:r w:rsidR="002C3777" w:rsidRPr="00DC1556">
        <w:rPr>
          <w:rFonts w:ascii="Times New Roman" w:hAnsi="Times New Roman" w:cs="Times New Roman"/>
          <w:color w:val="000000" w:themeColor="text1"/>
          <w:sz w:val="24"/>
          <w:szCs w:val="24"/>
        </w:rPr>
        <w:t xml:space="preserve">“Reglamento para el Control Sanitario Internacional de Embarcaciones en Costa Rica”, </w:t>
      </w:r>
      <w:r w:rsidR="002C3777" w:rsidRPr="00DC1556">
        <w:rPr>
          <w:rFonts w:ascii="Times New Roman" w:hAnsi="Times New Roman" w:cs="Times New Roman"/>
          <w:color w:val="000000" w:themeColor="text1"/>
          <w:sz w:val="24"/>
          <w:szCs w:val="24"/>
        </w:rPr>
        <w:t>D</w:t>
      </w:r>
      <w:r w:rsidR="007B6C26" w:rsidRPr="00DC1556">
        <w:rPr>
          <w:rFonts w:ascii="Times New Roman" w:hAnsi="Times New Roman" w:cs="Times New Roman"/>
          <w:color w:val="000000" w:themeColor="text1"/>
          <w:sz w:val="24"/>
          <w:szCs w:val="24"/>
        </w:rPr>
        <w:t>ecreto Ejecutivo N°45525-S del 03 de febrero del 2026.</w:t>
      </w:r>
    </w:p>
    <w:p w14:paraId="737CA02E" w14:textId="77777777" w:rsidR="00C17D3A" w:rsidRPr="00DC1556" w:rsidRDefault="00C17D3A" w:rsidP="00C17D3A">
      <w:pPr>
        <w:spacing w:line="360" w:lineRule="auto"/>
        <w:jc w:val="center"/>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CONSIDERANDO</w:t>
      </w:r>
    </w:p>
    <w:p w14:paraId="74DDC014" w14:textId="5C26469E" w:rsidR="00C17D3A" w:rsidRPr="00DC1556" w:rsidRDefault="00C17D3A"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I.</w:t>
      </w:r>
      <w:r w:rsidR="00FD4588"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rPr>
        <w:t xml:space="preserve"> </w:t>
      </w:r>
      <w:r w:rsidR="00FB5F33" w:rsidRPr="00DC1556">
        <w:rPr>
          <w:rFonts w:ascii="Times New Roman" w:hAnsi="Times New Roman" w:cs="Times New Roman"/>
          <w:color w:val="000000" w:themeColor="text1"/>
          <w:sz w:val="24"/>
          <w:szCs w:val="24"/>
        </w:rPr>
        <w:t xml:space="preserve">Que mediante el </w:t>
      </w:r>
      <w:r w:rsidR="002C3777" w:rsidRPr="00DC1556">
        <w:rPr>
          <w:rFonts w:ascii="Times New Roman" w:hAnsi="Times New Roman" w:cs="Times New Roman"/>
          <w:color w:val="000000" w:themeColor="text1"/>
          <w:sz w:val="24"/>
          <w:szCs w:val="24"/>
        </w:rPr>
        <w:t>“Reglamento para el Control Sanitario Internacional de Embarcaciones en Costa Rica”, Decreto Ejecutivo N°45525-S del 03 de febrero del 2026</w:t>
      </w:r>
      <w:r w:rsidR="00FB5F33" w:rsidRPr="00DC1556">
        <w:rPr>
          <w:rFonts w:ascii="Times New Roman" w:hAnsi="Times New Roman" w:cs="Times New Roman"/>
          <w:color w:val="000000" w:themeColor="text1"/>
          <w:sz w:val="24"/>
          <w:szCs w:val="24"/>
        </w:rPr>
        <w:t>, se establecieron las disposiciones técnicas, administrativas y operativas aplicables a la vigilancia sanitaria internacional de embarcaciones, la emisión de Certificados de Control de Sanidad a Bordo (SSCC), Certificados de Exención de Control de Sanidad a Bordo (SSCEC) y las tarifas asociadas a dichos servicios.</w:t>
      </w:r>
    </w:p>
    <w:p w14:paraId="09FD20D3" w14:textId="634A8346" w:rsidR="00C17D3A" w:rsidRPr="00DC1556" w:rsidRDefault="00C17D3A"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II.</w:t>
      </w:r>
      <w:r w:rsidR="00FD4588"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rPr>
        <w:t xml:space="preserve"> </w:t>
      </w:r>
      <w:r w:rsidR="00FB5F33" w:rsidRPr="00DC1556">
        <w:rPr>
          <w:rFonts w:ascii="Times New Roman" w:hAnsi="Times New Roman" w:cs="Times New Roman"/>
          <w:color w:val="000000" w:themeColor="text1"/>
          <w:sz w:val="24"/>
          <w:szCs w:val="24"/>
        </w:rPr>
        <w:t>Que la implementación efectiva de dicho reglamento requiere la disponibilidad de procedimiento</w:t>
      </w:r>
      <w:r w:rsidR="00FD1740" w:rsidRPr="00DC1556">
        <w:rPr>
          <w:rFonts w:ascii="Times New Roman" w:hAnsi="Times New Roman" w:cs="Times New Roman"/>
          <w:color w:val="000000" w:themeColor="text1"/>
          <w:sz w:val="24"/>
          <w:szCs w:val="24"/>
        </w:rPr>
        <w:t>s</w:t>
      </w:r>
      <w:r w:rsidR="00FB5F33" w:rsidRPr="00DC1556">
        <w:rPr>
          <w:rFonts w:ascii="Times New Roman" w:hAnsi="Times New Roman" w:cs="Times New Roman"/>
          <w:color w:val="000000" w:themeColor="text1"/>
          <w:sz w:val="24"/>
          <w:szCs w:val="24"/>
        </w:rPr>
        <w:t xml:space="preserve"> técnicos y administrativos debidamente validados, aprobados y oficializados para garantizar una aplicación uniforme en todo el territorio nacional.</w:t>
      </w:r>
    </w:p>
    <w:p w14:paraId="28539B0A" w14:textId="3C9B07E5" w:rsidR="00C17D3A" w:rsidRPr="00DC1556" w:rsidRDefault="00C17D3A"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III.</w:t>
      </w:r>
      <w:r w:rsidR="00FD4588"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rPr>
        <w:t xml:space="preserve"> </w:t>
      </w:r>
      <w:r w:rsidR="00FB5F33" w:rsidRPr="00DC1556">
        <w:rPr>
          <w:rFonts w:ascii="Times New Roman" w:hAnsi="Times New Roman" w:cs="Times New Roman"/>
          <w:color w:val="000000" w:themeColor="text1"/>
          <w:sz w:val="24"/>
          <w:szCs w:val="24"/>
        </w:rPr>
        <w:t>Que los procesos de implementación requieren la capacitación, evaluación y habilitación del personal técnico y profesional que participará en la ejecución de inspecciones sanitarias internacionales de embarcaciones, así como en la emisión de los certificados previstos en la normativa, procesos que se encuentran en desarrollo.</w:t>
      </w:r>
    </w:p>
    <w:p w14:paraId="15DBDB72" w14:textId="228AB283" w:rsidR="00C17D3A" w:rsidRPr="00DC1556" w:rsidRDefault="00C17D3A"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lastRenderedPageBreak/>
        <w:t>IV.</w:t>
      </w:r>
      <w:r w:rsidR="00FD4588"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rPr>
        <w:t xml:space="preserve"> </w:t>
      </w:r>
      <w:r w:rsidR="00FB5F33" w:rsidRPr="00DC1556">
        <w:rPr>
          <w:rFonts w:ascii="Times New Roman" w:hAnsi="Times New Roman" w:cs="Times New Roman"/>
          <w:color w:val="000000" w:themeColor="text1"/>
          <w:sz w:val="24"/>
          <w:szCs w:val="24"/>
        </w:rPr>
        <w:t>Que continúa en ejecución las acciones institucionales destinadas a garantizar la disponibilidad de equipos de protección personal, equipo técnico, recursos logísticos y demás insumos necesarios para la realización segura de las inspecciones sanitarias internacionales.</w:t>
      </w:r>
    </w:p>
    <w:p w14:paraId="49280D69" w14:textId="3DEF08A8" w:rsidR="00FB5F33" w:rsidRPr="00DC1556" w:rsidRDefault="00C17D3A"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V.</w:t>
      </w:r>
      <w:r w:rsidR="00FD4588"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rPr>
        <w:t xml:space="preserve"> </w:t>
      </w:r>
      <w:r w:rsidR="00FB5F33" w:rsidRPr="00DC1556">
        <w:rPr>
          <w:rFonts w:ascii="Times New Roman" w:hAnsi="Times New Roman" w:cs="Times New Roman"/>
          <w:color w:val="000000" w:themeColor="text1"/>
          <w:sz w:val="24"/>
          <w:szCs w:val="24"/>
        </w:rPr>
        <w:t>Que la implementación del reglamento requiere consolidar los mecanismos administrativos relacionados con la recepción de solicitudes, el registro de actuaciones, la emisión de certificados y el cobro de las tarifas correspondientes, así como fortalecer los sistemas de información requeridos para dichos procesos.</w:t>
      </w:r>
    </w:p>
    <w:p w14:paraId="4F6D7E0A" w14:textId="162BF04C" w:rsidR="00C17D3A" w:rsidRPr="00DC1556" w:rsidRDefault="00C17D3A"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VI.</w:t>
      </w:r>
      <w:r w:rsidR="00FD4588"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rPr>
        <w:t xml:space="preserve"> </w:t>
      </w:r>
      <w:r w:rsidR="00FB5F33" w:rsidRPr="00DC1556">
        <w:rPr>
          <w:rFonts w:ascii="Times New Roman" w:hAnsi="Times New Roman" w:cs="Times New Roman"/>
          <w:color w:val="000000" w:themeColor="text1"/>
          <w:sz w:val="24"/>
          <w:szCs w:val="24"/>
        </w:rPr>
        <w:t>Que la ejecución de inspecciones sanitarias internacionales implica el abordaje y permanencia de personal del Ministerio de Salud en embarcaciones de tráfico internacional, por lo que resulta necesario formalizar mecanismos de coordinación con autoridades portuarias, marítimas y policiales que garanticen condiciones adecuadas de seguridad durante el ejercicio de dichas funciones.</w:t>
      </w:r>
    </w:p>
    <w:p w14:paraId="6A0CF182" w14:textId="1F77E381" w:rsidR="002F5909" w:rsidRPr="00DC1556" w:rsidRDefault="00C17D3A"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VII.</w:t>
      </w:r>
      <w:r w:rsidR="00FD4588"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rPr>
        <w:t xml:space="preserve"> </w:t>
      </w:r>
      <w:r w:rsidR="00103EDA" w:rsidRPr="00DC1556">
        <w:rPr>
          <w:rFonts w:ascii="Times New Roman" w:hAnsi="Times New Roman" w:cs="Times New Roman"/>
          <w:color w:val="000000" w:themeColor="text1"/>
          <w:sz w:val="24"/>
          <w:szCs w:val="24"/>
        </w:rPr>
        <w:t>Que la Dirección General de Salud, mediante la CARTA-MS-DGS-1875-2026 del 28 de julio de 2026, estableció una hoja de ruta institucional para la implementación del Decreto Ejecutivo N°45525-S</w:t>
      </w:r>
      <w:r w:rsidR="00590130" w:rsidRPr="00DC1556">
        <w:rPr>
          <w:rFonts w:ascii="Times New Roman" w:hAnsi="Times New Roman" w:cs="Times New Roman"/>
          <w:color w:val="000000" w:themeColor="text1"/>
          <w:sz w:val="24"/>
          <w:szCs w:val="24"/>
        </w:rPr>
        <w:t xml:space="preserve"> mencionado</w:t>
      </w:r>
      <w:r w:rsidR="00103EDA" w:rsidRPr="00DC1556">
        <w:rPr>
          <w:rFonts w:ascii="Times New Roman" w:hAnsi="Times New Roman" w:cs="Times New Roman"/>
          <w:color w:val="000000" w:themeColor="text1"/>
          <w:sz w:val="24"/>
          <w:szCs w:val="24"/>
        </w:rPr>
        <w:t>, en la cual se identificaron actividades, responsables, productos y plazos relacionados con la gobernanza del proceso, diagnóstico de capacidades, cobertura portuaria, elaboración y oficialización de procedimientos, selección y capacitación del personal, dotación de equipo de protección personal y recursos operativos, implementación de mecanismos de cobro, coordinación interinstitucional, ejecución de pruebas piloto y evaluación de las condiciones necesarias para la entrada en operación plena del Reglamento. El seguimiento de dicha hoja de ruta evidenció que varias de esas actividades presentan relaciones de dependencia y deben ejecutarse de forma sucesiva, pues la capacitación práctica, las inspecciones de supervisión y la habilitación del servicio requieren previamente la aprobación de los procedimientos, la disponibilidad del equipo de protección personal, la definición de la cobertura operativa y el establecimiento de los mecanismos administrativos y financieros correspondientes.</w:t>
      </w:r>
    </w:p>
    <w:p w14:paraId="1CA0D109" w14:textId="13551B91" w:rsidR="002F5909" w:rsidRPr="00DC1556" w:rsidRDefault="00C17D3A" w:rsidP="00FB06A9">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VIII.</w:t>
      </w:r>
      <w:r w:rsidR="00FD4588" w:rsidRPr="00DC1556">
        <w:rPr>
          <w:rFonts w:ascii="Times New Roman" w:hAnsi="Times New Roman" w:cs="Times New Roman"/>
          <w:b/>
          <w:bCs/>
          <w:color w:val="000000" w:themeColor="text1"/>
          <w:sz w:val="24"/>
          <w:szCs w:val="24"/>
        </w:rPr>
        <w:t>-</w:t>
      </w:r>
      <w:r w:rsidR="00FB5F33" w:rsidRPr="00DC1556">
        <w:rPr>
          <w:rFonts w:ascii="Times New Roman" w:hAnsi="Times New Roman" w:cs="Times New Roman"/>
          <w:color w:val="000000" w:themeColor="text1"/>
          <w:sz w:val="24"/>
          <w:szCs w:val="24"/>
        </w:rPr>
        <w:t xml:space="preserve"> </w:t>
      </w:r>
      <w:r w:rsidR="002F5909" w:rsidRPr="00DC1556">
        <w:rPr>
          <w:rFonts w:ascii="Times New Roman" w:hAnsi="Times New Roman" w:cs="Times New Roman"/>
          <w:color w:val="000000" w:themeColor="text1"/>
          <w:sz w:val="24"/>
          <w:szCs w:val="24"/>
        </w:rPr>
        <w:t xml:space="preserve">Que, de acuerdo con el informe técnico CARTA-MS-DSA-UNSA-289-2026 del 14 de septiembre de 2026, emitido por la Unidad de Normalización en Salud Ambiental de la Dirección de Salud Ambiental, persisten brechas técnicas, operativas, administrativas y de coordinación interinstitucional que impiden la aplicación integral, uniforme y segura del </w:t>
      </w:r>
      <w:r w:rsidR="002F5909" w:rsidRPr="00DC1556">
        <w:rPr>
          <w:rFonts w:ascii="Times New Roman" w:hAnsi="Times New Roman" w:cs="Times New Roman"/>
          <w:color w:val="000000" w:themeColor="text1"/>
          <w:sz w:val="24"/>
          <w:szCs w:val="24"/>
        </w:rPr>
        <w:lastRenderedPageBreak/>
        <w:t>Decreto Ejecutivo N°45525-S. Entre ellas se encuentran la conclusión de las etapas de validación, aprobación, oficialización e implementación del procedimiento para la inspección de embarcaciones y la emisión de certificados; la capacitación, evaluación y habilitación del personal a escala nacional; la adquisición y distribución de equipos de protección personal, instrumentos y recursos logísticos; la definición de los mecanismos de recepción de solicitudes, registro, emisión de certificados, cobro</w:t>
      </w:r>
      <w:r w:rsidR="00103EDA" w:rsidRPr="00DC1556">
        <w:rPr>
          <w:rFonts w:ascii="Times New Roman" w:hAnsi="Times New Roman" w:cs="Times New Roman"/>
          <w:color w:val="000000" w:themeColor="text1"/>
          <w:sz w:val="24"/>
          <w:szCs w:val="24"/>
        </w:rPr>
        <w:t xml:space="preserve"> y</w:t>
      </w:r>
      <w:r w:rsidR="002F5909" w:rsidRPr="00DC1556">
        <w:rPr>
          <w:rFonts w:ascii="Times New Roman" w:hAnsi="Times New Roman" w:cs="Times New Roman"/>
          <w:color w:val="000000" w:themeColor="text1"/>
          <w:sz w:val="24"/>
          <w:szCs w:val="24"/>
        </w:rPr>
        <w:t xml:space="preserve"> la interoperabilidad con la Ventanilla Única Marítima; la formalización de protocolos de coordinación con autoridades marítimas, portuarias y policiales; así como la ejecución de </w:t>
      </w:r>
      <w:r w:rsidR="00103EDA" w:rsidRPr="00DC1556">
        <w:rPr>
          <w:rFonts w:ascii="Times New Roman" w:hAnsi="Times New Roman" w:cs="Times New Roman"/>
          <w:color w:val="000000" w:themeColor="text1"/>
          <w:sz w:val="24"/>
          <w:szCs w:val="24"/>
        </w:rPr>
        <w:t>supervisiones</w:t>
      </w:r>
      <w:r w:rsidR="002F5909" w:rsidRPr="00DC1556">
        <w:rPr>
          <w:rFonts w:ascii="Times New Roman" w:hAnsi="Times New Roman" w:cs="Times New Roman"/>
          <w:color w:val="000000" w:themeColor="text1"/>
          <w:sz w:val="24"/>
          <w:szCs w:val="24"/>
        </w:rPr>
        <w:t xml:space="preserve"> que permitan verificar y corregir el modelo operativo antes de su aplicación plena.</w:t>
      </w:r>
    </w:p>
    <w:p w14:paraId="40B72851" w14:textId="2219D2FF" w:rsidR="002F5909" w:rsidRPr="00DC1556" w:rsidRDefault="00536E11" w:rsidP="00FB06A9">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IX</w:t>
      </w:r>
      <w:r w:rsidR="002F5909" w:rsidRPr="00DC1556">
        <w:rPr>
          <w:rFonts w:ascii="Times New Roman" w:hAnsi="Times New Roman" w:cs="Times New Roman"/>
          <w:b/>
          <w:bCs/>
          <w:color w:val="000000" w:themeColor="text1"/>
          <w:sz w:val="24"/>
          <w:szCs w:val="24"/>
        </w:rPr>
        <w:t>.-</w:t>
      </w:r>
      <w:r w:rsidR="002F5909" w:rsidRPr="00DC1556">
        <w:rPr>
          <w:rFonts w:ascii="Times New Roman" w:hAnsi="Times New Roman" w:cs="Times New Roman"/>
          <w:color w:val="000000" w:themeColor="text1"/>
          <w:sz w:val="24"/>
          <w:szCs w:val="24"/>
        </w:rPr>
        <w:t xml:space="preserve"> Que el plazo adicional de dieciocho meses responde a la programación técnica necesaria para completar, de manera sucesiva, verificable y ordenada, las acciones pendientes de implementación. Durante una primera etapa deberán analizar los diagnósticos por puerto, aprobarse y oficializarse los procedimientos técnicos y administrativos, definirse las especificaciones de los equipos e iniciarse las gestiones de adquisición y coordinación interinstitucional. En una segunda etapa deberá completarse la dotación de recursos, la capacitación teórica y práctica, la evaluación de competencias y la habilitación del personal inspector, así como la configuración y validación de los mecanismos de recepción de solicitudes, registro, emisión de certificados, pago y conciliación. En una tercera etapa deberán ejecutarse supervisión en los puertos del Caribe y del Pacífico, evaluarse sus resultados, corregirse las brechas identificadas y comprobarse la interoperabilidad de los sistemas y protocolos de actuación conjunta. Finalmente, deberá realizarse una evaluación nacional de preparación que permita verificar que las Áreas Rectoras de Salud competentes cuentan con personal habilitado, recursos operativos, equipos de protección personal, mecanismos administrativos y financieros y condiciones de seguridad suficientes para la aplicación integral del Reglamento. La duración propuesta considera la dependencia entre estas actividades, los tiempos requeridos para la adquisición y distribución de recursos, la cobertura nacional del proceso y la necesidad de comprobar el funcionamiento del modelo antes de hacer exigibles las tarifas correspondientes.</w:t>
      </w:r>
    </w:p>
    <w:p w14:paraId="47964882" w14:textId="6514D8EE" w:rsidR="00590130" w:rsidRPr="00DC1556" w:rsidRDefault="00C77054" w:rsidP="0043727F">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X.</w:t>
      </w:r>
      <w:r w:rsidR="00974F2F"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rPr>
        <w:t xml:space="preserve"> </w:t>
      </w:r>
      <w:r w:rsidR="002F5909" w:rsidRPr="00DC1556">
        <w:rPr>
          <w:rFonts w:ascii="Times New Roman" w:hAnsi="Times New Roman" w:cs="Times New Roman"/>
          <w:color w:val="000000" w:themeColor="text1"/>
          <w:sz w:val="24"/>
          <w:szCs w:val="24"/>
        </w:rPr>
        <w:t>Que en concordancia con lo establecido el artículo 361</w:t>
      </w:r>
      <w:r w:rsidR="0043727F" w:rsidRPr="00DC1556">
        <w:rPr>
          <w:rFonts w:ascii="Times New Roman" w:hAnsi="Times New Roman" w:cs="Times New Roman"/>
          <w:color w:val="000000" w:themeColor="text1"/>
          <w:sz w:val="24"/>
          <w:szCs w:val="24"/>
        </w:rPr>
        <w:t xml:space="preserve"> </w:t>
      </w:r>
      <w:r w:rsidR="00590130" w:rsidRPr="00DC1556">
        <w:rPr>
          <w:rFonts w:ascii="Times New Roman" w:hAnsi="Times New Roman" w:cs="Times New Roman"/>
          <w:color w:val="000000" w:themeColor="text1"/>
          <w:sz w:val="24"/>
          <w:szCs w:val="24"/>
        </w:rPr>
        <w:t xml:space="preserve">de la </w:t>
      </w:r>
      <w:r w:rsidR="00590130" w:rsidRPr="00DC1556">
        <w:rPr>
          <w:rFonts w:ascii="Times New Roman" w:hAnsi="Times New Roman" w:cs="Times New Roman"/>
          <w:color w:val="000000" w:themeColor="text1"/>
          <w:sz w:val="24"/>
          <w:szCs w:val="24"/>
        </w:rPr>
        <w:t>“Ley General de la Administración Pública</w:t>
      </w:r>
      <w:r w:rsidR="00590130" w:rsidRPr="00DC1556">
        <w:rPr>
          <w:rFonts w:ascii="Times New Roman" w:hAnsi="Times New Roman" w:cs="Times New Roman"/>
          <w:color w:val="000000" w:themeColor="text1"/>
          <w:sz w:val="24"/>
          <w:szCs w:val="24"/>
        </w:rPr>
        <w:t xml:space="preserve">”, </w:t>
      </w:r>
      <w:proofErr w:type="spellStart"/>
      <w:r w:rsidR="002F5909" w:rsidRPr="00DC1556">
        <w:rPr>
          <w:rFonts w:ascii="Times New Roman" w:hAnsi="Times New Roman" w:cs="Times New Roman"/>
          <w:color w:val="000000" w:themeColor="text1"/>
          <w:sz w:val="24"/>
          <w:szCs w:val="24"/>
        </w:rPr>
        <w:t>Nº</w:t>
      </w:r>
      <w:proofErr w:type="spellEnd"/>
      <w:r w:rsidR="002F5909" w:rsidRPr="00DC1556">
        <w:rPr>
          <w:rFonts w:ascii="Times New Roman" w:hAnsi="Times New Roman" w:cs="Times New Roman"/>
          <w:color w:val="000000" w:themeColor="text1"/>
          <w:sz w:val="24"/>
          <w:szCs w:val="24"/>
        </w:rPr>
        <w:t xml:space="preserve"> 6227 del 2 de mayo de 1978</w:t>
      </w:r>
      <w:r w:rsidR="00590130" w:rsidRPr="00DC1556">
        <w:rPr>
          <w:rFonts w:ascii="Times New Roman" w:hAnsi="Times New Roman" w:cs="Times New Roman"/>
          <w:color w:val="000000" w:themeColor="text1"/>
          <w:sz w:val="24"/>
          <w:szCs w:val="24"/>
        </w:rPr>
        <w:t xml:space="preserve">, </w:t>
      </w:r>
      <w:r w:rsidR="002F5909" w:rsidRPr="00DC1556">
        <w:rPr>
          <w:rFonts w:ascii="Times New Roman" w:hAnsi="Times New Roman" w:cs="Times New Roman"/>
          <w:color w:val="000000" w:themeColor="text1"/>
          <w:sz w:val="24"/>
          <w:szCs w:val="24"/>
        </w:rPr>
        <w:t xml:space="preserve">el presente Decreto Ejecutivo </w:t>
      </w:r>
      <w:r w:rsidR="002F5909" w:rsidRPr="00DC1556">
        <w:rPr>
          <w:rFonts w:ascii="Times New Roman" w:hAnsi="Times New Roman" w:cs="Times New Roman"/>
          <w:color w:val="000000" w:themeColor="text1"/>
          <w:sz w:val="24"/>
          <w:szCs w:val="24"/>
        </w:rPr>
        <w:lastRenderedPageBreak/>
        <w:t>cumplió con el trámite de consulta pública, la misma se realizó en la página web del Ministerio de Salud</w:t>
      </w:r>
      <w:r w:rsidR="0043727F" w:rsidRPr="00DC1556">
        <w:rPr>
          <w:rFonts w:ascii="Times New Roman" w:hAnsi="Times New Roman" w:cs="Times New Roman"/>
          <w:color w:val="000000" w:themeColor="text1"/>
          <w:sz w:val="24"/>
          <w:szCs w:val="24"/>
        </w:rPr>
        <w:t>,</w:t>
      </w:r>
      <w:r w:rsidR="00590130" w:rsidRPr="00DC1556">
        <w:rPr>
          <w:rFonts w:ascii="Times New Roman" w:hAnsi="Times New Roman" w:cs="Times New Roman"/>
          <w:color w:val="000000" w:themeColor="text1"/>
          <w:sz w:val="24"/>
          <w:szCs w:val="24"/>
        </w:rPr>
        <w:t xml:space="preserve"> </w:t>
      </w:r>
      <w:hyperlink r:id="rId7" w:history="1">
        <w:r w:rsidR="0043727F" w:rsidRPr="00DC1556">
          <w:rPr>
            <w:rStyle w:val="Hipervnculo"/>
            <w:rFonts w:ascii="Times New Roman" w:hAnsi="Times New Roman" w:cs="Times New Roman"/>
            <w:color w:val="000000" w:themeColor="text1"/>
            <w:sz w:val="24"/>
            <w:szCs w:val="24"/>
          </w:rPr>
          <w:t>h</w:t>
        </w:r>
        <w:r w:rsidR="0043727F" w:rsidRPr="00DC1556">
          <w:rPr>
            <w:rStyle w:val="Hipervnculo"/>
            <w:rFonts w:ascii="Times New Roman" w:hAnsi="Times New Roman" w:cs="Times New Roman"/>
            <w:color w:val="000000" w:themeColor="text1"/>
            <w:sz w:val="24"/>
            <w:szCs w:val="24"/>
            <w:highlight w:val="yellow"/>
          </w:rPr>
          <w:t>ttps://www.ministeriodesalud.go.cr</w:t>
        </w:r>
      </w:hyperlink>
      <w:r w:rsidR="0043727F" w:rsidRPr="00DC1556">
        <w:rPr>
          <w:rFonts w:ascii="Times New Roman" w:hAnsi="Times New Roman" w:cs="Times New Roman"/>
          <w:color w:val="000000" w:themeColor="text1"/>
          <w:sz w:val="24"/>
          <w:szCs w:val="24"/>
        </w:rPr>
        <w:t>,</w:t>
      </w:r>
      <w:r w:rsidR="002F5909" w:rsidRPr="00DC1556">
        <w:rPr>
          <w:rFonts w:ascii="Times New Roman" w:hAnsi="Times New Roman" w:cs="Times New Roman"/>
          <w:color w:val="000000" w:themeColor="text1"/>
          <w:sz w:val="24"/>
          <w:szCs w:val="24"/>
        </w:rPr>
        <w:t xml:space="preserve"> en fecha </w:t>
      </w:r>
      <w:proofErr w:type="spellStart"/>
      <w:r w:rsidR="002F5909" w:rsidRPr="00DC1556">
        <w:rPr>
          <w:rFonts w:ascii="Times New Roman" w:hAnsi="Times New Roman" w:cs="Times New Roman"/>
          <w:color w:val="000000" w:themeColor="text1"/>
          <w:sz w:val="24"/>
          <w:szCs w:val="24"/>
          <w:highlight w:val="yellow"/>
        </w:rPr>
        <w:t>xxxxxx</w:t>
      </w:r>
      <w:proofErr w:type="spellEnd"/>
      <w:r w:rsidR="002F5909" w:rsidRPr="00DC1556">
        <w:rPr>
          <w:rFonts w:ascii="Times New Roman" w:hAnsi="Times New Roman" w:cs="Times New Roman"/>
          <w:color w:val="000000" w:themeColor="text1"/>
          <w:sz w:val="24"/>
          <w:szCs w:val="24"/>
        </w:rPr>
        <w:t>, siendo que fueron atendidas todas las observaciones emitidas por los administrados.</w:t>
      </w:r>
    </w:p>
    <w:p w14:paraId="5DF10A5C" w14:textId="3979975D" w:rsidR="00FB2B4E" w:rsidRPr="00DC1556" w:rsidRDefault="005E167B" w:rsidP="00C17D3A">
      <w:pPr>
        <w:spacing w:line="360" w:lineRule="auto"/>
        <w:jc w:val="both"/>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X</w:t>
      </w:r>
      <w:r w:rsidR="00536E11" w:rsidRPr="00DC1556">
        <w:rPr>
          <w:rFonts w:ascii="Times New Roman" w:hAnsi="Times New Roman" w:cs="Times New Roman"/>
          <w:b/>
          <w:bCs/>
          <w:color w:val="000000" w:themeColor="text1"/>
          <w:sz w:val="24"/>
          <w:szCs w:val="24"/>
        </w:rPr>
        <w:t>I</w:t>
      </w:r>
      <w:r w:rsidRPr="00DC1556">
        <w:rPr>
          <w:rFonts w:ascii="Times New Roman" w:hAnsi="Times New Roman" w:cs="Times New Roman"/>
          <w:b/>
          <w:bCs/>
          <w:color w:val="000000" w:themeColor="text1"/>
          <w:sz w:val="24"/>
          <w:szCs w:val="24"/>
        </w:rPr>
        <w:t>.</w:t>
      </w:r>
      <w:r w:rsidR="00974F2F" w:rsidRPr="00DC1556">
        <w:rPr>
          <w:rFonts w:ascii="Times New Roman" w:hAnsi="Times New Roman" w:cs="Times New Roman"/>
          <w:b/>
          <w:bCs/>
          <w:color w:val="000000" w:themeColor="text1"/>
          <w:sz w:val="24"/>
          <w:szCs w:val="24"/>
        </w:rPr>
        <w:t>-</w:t>
      </w:r>
      <w:r w:rsidRPr="00DC1556">
        <w:rPr>
          <w:rFonts w:ascii="Times New Roman" w:hAnsi="Times New Roman" w:cs="Times New Roman"/>
          <w:color w:val="000000" w:themeColor="text1"/>
          <w:sz w:val="24"/>
          <w:szCs w:val="24"/>
          <w:shd w:val="clear" w:color="auto" w:fill="FFFFFF"/>
        </w:rPr>
        <w:t xml:space="preserve"> </w:t>
      </w:r>
      <w:r w:rsidR="006F075D" w:rsidRPr="00DC1556">
        <w:rPr>
          <w:rFonts w:ascii="Times New Roman" w:hAnsi="Times New Roman" w:cs="Times New Roman"/>
          <w:color w:val="000000" w:themeColor="text1"/>
          <w:sz w:val="24"/>
          <w:szCs w:val="24"/>
        </w:rPr>
        <w:t xml:space="preserve">Que de conformidad con el artículo 12 bis del </w:t>
      </w:r>
      <w:r w:rsidR="00590130" w:rsidRPr="00DC1556">
        <w:rPr>
          <w:rFonts w:ascii="Times New Roman" w:hAnsi="Times New Roman" w:cs="Times New Roman"/>
          <w:color w:val="000000" w:themeColor="text1"/>
          <w:sz w:val="24"/>
          <w:szCs w:val="24"/>
        </w:rPr>
        <w:t>“Reglamento a la Ley de Protección al Ciudadano del Exceso de Requisitos y Trámites Administrativos”</w:t>
      </w:r>
      <w:r w:rsidR="00590130" w:rsidRPr="00DC1556">
        <w:rPr>
          <w:rFonts w:ascii="Times New Roman" w:hAnsi="Times New Roman" w:cs="Times New Roman"/>
          <w:color w:val="000000" w:themeColor="text1"/>
          <w:sz w:val="24"/>
          <w:szCs w:val="24"/>
        </w:rPr>
        <w:t xml:space="preserve">, </w:t>
      </w:r>
      <w:r w:rsidR="006F075D" w:rsidRPr="00DC1556">
        <w:rPr>
          <w:rFonts w:ascii="Times New Roman" w:hAnsi="Times New Roman" w:cs="Times New Roman"/>
          <w:color w:val="000000" w:themeColor="text1"/>
          <w:sz w:val="24"/>
          <w:szCs w:val="24"/>
        </w:rPr>
        <w:t>Decreto Ejecutivo No. 37045</w:t>
      </w:r>
      <w:r w:rsidR="00590130" w:rsidRPr="00DC1556">
        <w:rPr>
          <w:rFonts w:ascii="Times New Roman" w:hAnsi="Times New Roman" w:cs="Times New Roman"/>
          <w:color w:val="000000" w:themeColor="text1"/>
          <w:sz w:val="24"/>
          <w:szCs w:val="24"/>
        </w:rPr>
        <w:t>-MP-MEIC</w:t>
      </w:r>
      <w:r w:rsidR="006F075D" w:rsidRPr="00DC1556">
        <w:rPr>
          <w:rFonts w:ascii="Times New Roman" w:hAnsi="Times New Roman" w:cs="Times New Roman"/>
          <w:color w:val="000000" w:themeColor="text1"/>
          <w:sz w:val="24"/>
          <w:szCs w:val="24"/>
        </w:rPr>
        <w:t xml:space="preserve"> de</w:t>
      </w:r>
      <w:r w:rsidR="00590130" w:rsidRPr="00DC1556">
        <w:rPr>
          <w:rFonts w:ascii="Times New Roman" w:hAnsi="Times New Roman" w:cs="Times New Roman"/>
          <w:color w:val="000000" w:themeColor="text1"/>
          <w:sz w:val="24"/>
          <w:szCs w:val="24"/>
        </w:rPr>
        <w:t>l</w:t>
      </w:r>
      <w:r w:rsidR="006F075D" w:rsidRPr="00DC1556">
        <w:rPr>
          <w:rFonts w:ascii="Times New Roman" w:hAnsi="Times New Roman" w:cs="Times New Roman"/>
          <w:color w:val="000000" w:themeColor="text1"/>
          <w:sz w:val="24"/>
          <w:szCs w:val="24"/>
        </w:rPr>
        <w:t xml:space="preserve"> 22 de febrero de 2012 y su</w:t>
      </w:r>
      <w:r w:rsidR="00D333B3" w:rsidRPr="00DC1556">
        <w:rPr>
          <w:rFonts w:ascii="Times New Roman" w:hAnsi="Times New Roman" w:cs="Times New Roman"/>
          <w:color w:val="000000" w:themeColor="text1"/>
          <w:sz w:val="24"/>
          <w:szCs w:val="24"/>
        </w:rPr>
        <w:t>s</w:t>
      </w:r>
      <w:r w:rsidR="006F075D" w:rsidRPr="00DC1556">
        <w:rPr>
          <w:rFonts w:ascii="Times New Roman" w:hAnsi="Times New Roman" w:cs="Times New Roman"/>
          <w:color w:val="000000" w:themeColor="text1"/>
          <w:sz w:val="24"/>
          <w:szCs w:val="24"/>
        </w:rPr>
        <w:t xml:space="preserve"> reforma</w:t>
      </w:r>
      <w:r w:rsidR="00D333B3" w:rsidRPr="00DC1556">
        <w:rPr>
          <w:rFonts w:ascii="Times New Roman" w:hAnsi="Times New Roman" w:cs="Times New Roman"/>
          <w:color w:val="000000" w:themeColor="text1"/>
          <w:sz w:val="24"/>
          <w:szCs w:val="24"/>
        </w:rPr>
        <w:t>s</w:t>
      </w:r>
      <w:r w:rsidR="006F075D" w:rsidRPr="00DC1556">
        <w:rPr>
          <w:rFonts w:ascii="Times New Roman" w:hAnsi="Times New Roman" w:cs="Times New Roman"/>
          <w:color w:val="000000" w:themeColor="text1"/>
          <w:sz w:val="24"/>
          <w:szCs w:val="24"/>
        </w:rPr>
        <w:t>, se considera que por la naturaleza del presente reglamento no es necesario completar la Sección I denominada Control Previo de Mejora Regulatoria, que conforma el formulario de Evaluación Costo Beneficio, toda vez que el mismo no establece trámites ni requerimientos para el administrado.  </w:t>
      </w:r>
    </w:p>
    <w:p w14:paraId="25EC20DE" w14:textId="77777777" w:rsidR="006F075D" w:rsidRPr="00DC1556" w:rsidRDefault="006F075D" w:rsidP="00C17D3A">
      <w:pPr>
        <w:spacing w:line="360" w:lineRule="auto"/>
        <w:jc w:val="both"/>
        <w:rPr>
          <w:rFonts w:ascii="Times New Roman" w:hAnsi="Times New Roman" w:cs="Times New Roman"/>
          <w:b/>
          <w:bCs/>
          <w:color w:val="000000" w:themeColor="text1"/>
          <w:sz w:val="24"/>
          <w:szCs w:val="24"/>
        </w:rPr>
      </w:pPr>
    </w:p>
    <w:p w14:paraId="1CDAB7F5" w14:textId="66B76D61" w:rsidR="00C17D3A" w:rsidRPr="00DC1556" w:rsidRDefault="00FB5F33" w:rsidP="00C17D3A">
      <w:pPr>
        <w:spacing w:line="360" w:lineRule="auto"/>
        <w:jc w:val="both"/>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POR TANTO</w:t>
      </w:r>
      <w:r w:rsidR="00C17D3A" w:rsidRPr="00DC1556">
        <w:rPr>
          <w:rFonts w:ascii="Times New Roman" w:hAnsi="Times New Roman" w:cs="Times New Roman"/>
          <w:b/>
          <w:bCs/>
          <w:color w:val="000000" w:themeColor="text1"/>
          <w:sz w:val="24"/>
          <w:szCs w:val="24"/>
        </w:rPr>
        <w:t>,</w:t>
      </w:r>
    </w:p>
    <w:p w14:paraId="0DCFF3CB" w14:textId="1A42F758" w:rsidR="00C17D3A" w:rsidRPr="00DC1556" w:rsidRDefault="00FB5F33" w:rsidP="00C17D3A">
      <w:pPr>
        <w:spacing w:line="360" w:lineRule="auto"/>
        <w:jc w:val="center"/>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DECRETAN</w:t>
      </w:r>
      <w:r w:rsidR="00C17D3A" w:rsidRPr="00DC1556">
        <w:rPr>
          <w:rFonts w:ascii="Times New Roman" w:hAnsi="Times New Roman" w:cs="Times New Roman"/>
          <w:b/>
          <w:bCs/>
          <w:color w:val="000000" w:themeColor="text1"/>
          <w:sz w:val="24"/>
          <w:szCs w:val="24"/>
        </w:rPr>
        <w:t>:</w:t>
      </w:r>
    </w:p>
    <w:p w14:paraId="7DC878A7" w14:textId="12C09821" w:rsidR="00C17D3A" w:rsidRPr="00DC1556" w:rsidRDefault="00FB5F33" w:rsidP="00C17D3A">
      <w:pPr>
        <w:spacing w:line="360" w:lineRule="auto"/>
        <w:jc w:val="center"/>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 xml:space="preserve">REFORMA DEL TRANSITORIO ÚNICO DEL DECRETO EJECUTIVO N°45525-S </w:t>
      </w:r>
      <w:r w:rsidR="001B0963" w:rsidRPr="00DC1556">
        <w:rPr>
          <w:rFonts w:ascii="Times New Roman" w:hAnsi="Times New Roman" w:cs="Times New Roman"/>
          <w:b/>
          <w:bCs/>
          <w:color w:val="000000" w:themeColor="text1"/>
          <w:sz w:val="24"/>
          <w:szCs w:val="24"/>
        </w:rPr>
        <w:t xml:space="preserve">DEL </w:t>
      </w:r>
      <w:r w:rsidR="000C68FF" w:rsidRPr="00DC1556">
        <w:rPr>
          <w:rFonts w:ascii="Times New Roman" w:hAnsi="Times New Roman" w:cs="Times New Roman"/>
          <w:b/>
          <w:bCs/>
          <w:color w:val="000000" w:themeColor="text1"/>
          <w:sz w:val="24"/>
          <w:szCs w:val="24"/>
        </w:rPr>
        <w:t xml:space="preserve">03 DE FEBRERO DEL 2026 </w:t>
      </w:r>
      <w:r w:rsidR="00974F2F" w:rsidRPr="00DC1556">
        <w:rPr>
          <w:rFonts w:ascii="Times New Roman" w:hAnsi="Times New Roman" w:cs="Times New Roman"/>
          <w:b/>
          <w:bCs/>
          <w:color w:val="000000" w:themeColor="text1"/>
          <w:sz w:val="24"/>
          <w:szCs w:val="24"/>
        </w:rPr>
        <w:t>“</w:t>
      </w:r>
      <w:r w:rsidRPr="00DC1556">
        <w:rPr>
          <w:rFonts w:ascii="Times New Roman" w:hAnsi="Times New Roman" w:cs="Times New Roman"/>
          <w:b/>
          <w:bCs/>
          <w:color w:val="000000" w:themeColor="text1"/>
          <w:sz w:val="24"/>
          <w:szCs w:val="24"/>
        </w:rPr>
        <w:t>REGLAMENTO PARA EL CONTROL SANITARIO INTERNACIONAL DE EMBARCACIONES EN COSTA RICA</w:t>
      </w:r>
      <w:r w:rsidR="00220862" w:rsidRPr="00DC1556">
        <w:rPr>
          <w:rFonts w:ascii="Times New Roman" w:hAnsi="Times New Roman" w:cs="Times New Roman"/>
          <w:b/>
          <w:bCs/>
          <w:color w:val="000000" w:themeColor="text1"/>
          <w:sz w:val="24"/>
          <w:szCs w:val="24"/>
        </w:rPr>
        <w:t>”</w:t>
      </w:r>
    </w:p>
    <w:p w14:paraId="74E0B026" w14:textId="77777777" w:rsidR="00C17D3A" w:rsidRPr="00DC1556" w:rsidRDefault="00C17D3A" w:rsidP="00C17D3A">
      <w:pPr>
        <w:spacing w:line="360" w:lineRule="auto"/>
        <w:jc w:val="both"/>
        <w:rPr>
          <w:rFonts w:ascii="Times New Roman" w:hAnsi="Times New Roman" w:cs="Times New Roman"/>
          <w:color w:val="000000" w:themeColor="text1"/>
          <w:sz w:val="24"/>
          <w:szCs w:val="24"/>
        </w:rPr>
      </w:pPr>
    </w:p>
    <w:p w14:paraId="45D79A23" w14:textId="33CF6D2C" w:rsidR="00FB5F33" w:rsidRPr="00DC1556" w:rsidRDefault="00590130" w:rsidP="00C17D3A">
      <w:pPr>
        <w:spacing w:line="360" w:lineRule="auto"/>
        <w:jc w:val="both"/>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 xml:space="preserve">            </w:t>
      </w:r>
      <w:r w:rsidR="00C17D3A" w:rsidRPr="00DC1556">
        <w:rPr>
          <w:rFonts w:ascii="Times New Roman" w:hAnsi="Times New Roman" w:cs="Times New Roman"/>
          <w:b/>
          <w:bCs/>
          <w:color w:val="000000" w:themeColor="text1"/>
          <w:sz w:val="24"/>
          <w:szCs w:val="24"/>
        </w:rPr>
        <w:t>Artículo 1.</w:t>
      </w:r>
      <w:r w:rsidR="00FB2B4E" w:rsidRPr="00DC1556">
        <w:rPr>
          <w:rFonts w:ascii="Times New Roman" w:hAnsi="Times New Roman" w:cs="Times New Roman"/>
          <w:b/>
          <w:bCs/>
          <w:color w:val="000000" w:themeColor="text1"/>
          <w:sz w:val="24"/>
          <w:szCs w:val="24"/>
        </w:rPr>
        <w:t xml:space="preserve">- </w:t>
      </w:r>
      <w:r w:rsidR="00FB2B4E" w:rsidRPr="00DC1556">
        <w:rPr>
          <w:rFonts w:ascii="Times New Roman" w:hAnsi="Times New Roman" w:cs="Times New Roman"/>
          <w:color w:val="000000" w:themeColor="text1"/>
          <w:sz w:val="24"/>
          <w:szCs w:val="24"/>
        </w:rPr>
        <w:t>Refórmese</w:t>
      </w:r>
      <w:r w:rsidR="00FB5F33" w:rsidRPr="00DC1556">
        <w:rPr>
          <w:rFonts w:ascii="Times New Roman" w:hAnsi="Times New Roman" w:cs="Times New Roman"/>
          <w:color w:val="000000" w:themeColor="text1"/>
          <w:sz w:val="24"/>
          <w:szCs w:val="24"/>
        </w:rPr>
        <w:t xml:space="preserve"> el Transitorio Único del </w:t>
      </w:r>
      <w:r w:rsidR="006F075D" w:rsidRPr="00DC1556">
        <w:rPr>
          <w:rFonts w:ascii="Times New Roman" w:hAnsi="Times New Roman" w:cs="Times New Roman"/>
          <w:color w:val="000000" w:themeColor="text1"/>
          <w:sz w:val="24"/>
          <w:szCs w:val="24"/>
        </w:rPr>
        <w:t xml:space="preserve">“Reglamento para el Control Sanitario Internacional de Embarcaciones en Costa Rica”, </w:t>
      </w:r>
      <w:r w:rsidR="00FB5F33" w:rsidRPr="00DC1556">
        <w:rPr>
          <w:rFonts w:ascii="Times New Roman" w:hAnsi="Times New Roman" w:cs="Times New Roman"/>
          <w:color w:val="000000" w:themeColor="text1"/>
          <w:sz w:val="24"/>
          <w:szCs w:val="24"/>
        </w:rPr>
        <w:t>Decreto Ejecutivo N°45525-S</w:t>
      </w:r>
      <w:r w:rsidR="000C68FF" w:rsidRPr="00DC1556">
        <w:rPr>
          <w:rFonts w:ascii="Times New Roman" w:hAnsi="Times New Roman" w:cs="Times New Roman"/>
          <w:color w:val="000000" w:themeColor="text1"/>
          <w:sz w:val="24"/>
          <w:szCs w:val="24"/>
        </w:rPr>
        <w:t xml:space="preserve"> </w:t>
      </w:r>
      <w:r w:rsidR="000216F5" w:rsidRPr="00DC1556">
        <w:rPr>
          <w:rFonts w:ascii="Times New Roman" w:hAnsi="Times New Roman" w:cs="Times New Roman"/>
          <w:color w:val="000000" w:themeColor="text1"/>
          <w:sz w:val="24"/>
          <w:szCs w:val="24"/>
        </w:rPr>
        <w:t xml:space="preserve">del 03 de febrero del 2026, </w:t>
      </w:r>
      <w:r w:rsidR="00FB5F33" w:rsidRPr="00DC1556">
        <w:rPr>
          <w:rFonts w:ascii="Times New Roman" w:hAnsi="Times New Roman" w:cs="Times New Roman"/>
          <w:color w:val="000000" w:themeColor="text1"/>
          <w:sz w:val="24"/>
          <w:szCs w:val="24"/>
        </w:rPr>
        <w:t>para que se lea de la siguiente manera:</w:t>
      </w:r>
    </w:p>
    <w:p w14:paraId="0C3FA702" w14:textId="77777777" w:rsidR="00C17D3A" w:rsidRPr="00DC1556" w:rsidRDefault="00C17D3A" w:rsidP="00C17D3A">
      <w:pPr>
        <w:spacing w:line="360" w:lineRule="auto"/>
        <w:jc w:val="both"/>
        <w:rPr>
          <w:rFonts w:ascii="Times New Roman" w:hAnsi="Times New Roman" w:cs="Times New Roman"/>
          <w:color w:val="000000" w:themeColor="text1"/>
          <w:sz w:val="24"/>
          <w:szCs w:val="24"/>
        </w:rPr>
      </w:pPr>
    </w:p>
    <w:p w14:paraId="7CB5543D" w14:textId="14DA0B28" w:rsidR="00C17D3A" w:rsidRPr="00DC1556" w:rsidRDefault="00C17D3A" w:rsidP="00590130">
      <w:pPr>
        <w:spacing w:line="360" w:lineRule="auto"/>
        <w:ind w:left="567" w:right="333"/>
        <w:jc w:val="both"/>
        <w:rPr>
          <w:rFonts w:ascii="Times New Roman" w:hAnsi="Times New Roman" w:cs="Times New Roman"/>
          <w:color w:val="000000" w:themeColor="text1"/>
          <w:sz w:val="24"/>
          <w:szCs w:val="24"/>
        </w:rPr>
      </w:pPr>
      <w:r w:rsidRPr="00DC1556">
        <w:rPr>
          <w:rFonts w:ascii="Times New Roman" w:hAnsi="Times New Roman" w:cs="Times New Roman"/>
          <w:color w:val="000000" w:themeColor="text1"/>
          <w:sz w:val="24"/>
          <w:szCs w:val="24"/>
        </w:rPr>
        <w:t>"</w:t>
      </w:r>
      <w:r w:rsidR="00FB5F33" w:rsidRPr="00DC1556">
        <w:rPr>
          <w:rFonts w:ascii="Times New Roman" w:hAnsi="Times New Roman" w:cs="Times New Roman"/>
          <w:color w:val="000000" w:themeColor="text1"/>
          <w:sz w:val="24"/>
          <w:szCs w:val="24"/>
        </w:rPr>
        <w:t>TRANSITORIO ÚNICO</w:t>
      </w:r>
      <w:r w:rsidR="000253F8" w:rsidRPr="00DC1556">
        <w:rPr>
          <w:rFonts w:ascii="Times New Roman" w:hAnsi="Times New Roman" w:cs="Times New Roman"/>
          <w:color w:val="000000" w:themeColor="text1"/>
          <w:sz w:val="24"/>
          <w:szCs w:val="24"/>
        </w:rPr>
        <w:t>:</w:t>
      </w:r>
      <w:r w:rsidR="00284D84" w:rsidRPr="00DC1556">
        <w:rPr>
          <w:rFonts w:ascii="Times New Roman" w:hAnsi="Times New Roman" w:cs="Times New Roman"/>
          <w:color w:val="000000" w:themeColor="text1"/>
          <w:sz w:val="24"/>
          <w:szCs w:val="24"/>
        </w:rPr>
        <w:t xml:space="preserve"> </w:t>
      </w:r>
      <w:r w:rsidR="003C2E30" w:rsidRPr="00DC1556">
        <w:rPr>
          <w:rFonts w:ascii="Times New Roman" w:hAnsi="Times New Roman" w:cs="Times New Roman"/>
          <w:color w:val="000000" w:themeColor="text1"/>
          <w:sz w:val="24"/>
          <w:szCs w:val="24"/>
        </w:rPr>
        <w:t xml:space="preserve">Para la </w:t>
      </w:r>
      <w:r w:rsidR="00FB5F33" w:rsidRPr="00DC1556">
        <w:rPr>
          <w:rFonts w:ascii="Times New Roman" w:hAnsi="Times New Roman" w:cs="Times New Roman"/>
          <w:color w:val="000000" w:themeColor="text1"/>
          <w:sz w:val="24"/>
          <w:szCs w:val="24"/>
        </w:rPr>
        <w:t xml:space="preserve">exigibilidad de las disposiciones relacionadas con la emisión de Certificados de Control de Sanidad a Bordo (SSCC), Certificados de Exención de Control de Sanidad a Bordo (SSCEC), los </w:t>
      </w:r>
      <w:r w:rsidR="00FB2B4E" w:rsidRPr="00DC1556">
        <w:rPr>
          <w:rFonts w:ascii="Times New Roman" w:hAnsi="Times New Roman" w:cs="Times New Roman"/>
          <w:color w:val="000000" w:themeColor="text1"/>
          <w:sz w:val="24"/>
          <w:szCs w:val="24"/>
        </w:rPr>
        <w:t>procedimientos asociados</w:t>
      </w:r>
      <w:r w:rsidR="00FB5F33" w:rsidRPr="00DC1556">
        <w:rPr>
          <w:rFonts w:ascii="Times New Roman" w:hAnsi="Times New Roman" w:cs="Times New Roman"/>
          <w:color w:val="000000" w:themeColor="text1"/>
          <w:sz w:val="24"/>
          <w:szCs w:val="24"/>
        </w:rPr>
        <w:t xml:space="preserve"> a dichas actuaciones y el cobro de las tarifas correspondientes</w:t>
      </w:r>
      <w:r w:rsidR="003C2E30" w:rsidRPr="00DC1556">
        <w:rPr>
          <w:rFonts w:ascii="Times New Roman" w:hAnsi="Times New Roman" w:cs="Times New Roman"/>
          <w:color w:val="000000" w:themeColor="text1"/>
          <w:sz w:val="24"/>
          <w:szCs w:val="24"/>
        </w:rPr>
        <w:t xml:space="preserve">, se </w:t>
      </w:r>
      <w:r w:rsidR="002B57C2" w:rsidRPr="00DC1556">
        <w:rPr>
          <w:rFonts w:ascii="Times New Roman" w:hAnsi="Times New Roman" w:cs="Times New Roman"/>
          <w:color w:val="000000" w:themeColor="text1"/>
          <w:sz w:val="24"/>
          <w:szCs w:val="24"/>
        </w:rPr>
        <w:t xml:space="preserve">prorroga </w:t>
      </w:r>
      <w:r w:rsidR="00A55666" w:rsidRPr="00DC1556">
        <w:rPr>
          <w:rFonts w:ascii="Times New Roman" w:hAnsi="Times New Roman" w:cs="Times New Roman"/>
          <w:color w:val="000000" w:themeColor="text1"/>
          <w:sz w:val="24"/>
          <w:szCs w:val="24"/>
        </w:rPr>
        <w:t xml:space="preserve">el transitorio único </w:t>
      </w:r>
      <w:r w:rsidR="003C2E30" w:rsidRPr="00DC1556">
        <w:rPr>
          <w:rFonts w:ascii="Times New Roman" w:hAnsi="Times New Roman" w:cs="Times New Roman"/>
          <w:color w:val="000000" w:themeColor="text1"/>
          <w:sz w:val="24"/>
          <w:szCs w:val="24"/>
        </w:rPr>
        <w:t>por un plazo adicional de dieciocho (18) meses, contado a partir del nueve de octubre del año 2026</w:t>
      </w:r>
      <w:r w:rsidR="00A55666" w:rsidRPr="00DC1556">
        <w:rPr>
          <w:rFonts w:ascii="Times New Roman" w:hAnsi="Times New Roman" w:cs="Times New Roman"/>
          <w:color w:val="000000" w:themeColor="text1"/>
          <w:sz w:val="24"/>
          <w:szCs w:val="24"/>
        </w:rPr>
        <w:t xml:space="preserve">. </w:t>
      </w:r>
    </w:p>
    <w:p w14:paraId="23E24200" w14:textId="5959B3FC" w:rsidR="00FB5F33" w:rsidRPr="00DC1556" w:rsidRDefault="00FB5F33" w:rsidP="00590130">
      <w:pPr>
        <w:spacing w:line="360" w:lineRule="auto"/>
        <w:ind w:left="567" w:right="333"/>
        <w:jc w:val="both"/>
        <w:rPr>
          <w:rFonts w:ascii="Times New Roman" w:hAnsi="Times New Roman" w:cs="Times New Roman"/>
          <w:color w:val="000000" w:themeColor="text1"/>
          <w:sz w:val="24"/>
          <w:szCs w:val="24"/>
        </w:rPr>
      </w:pPr>
      <w:r w:rsidRPr="00DC1556">
        <w:rPr>
          <w:rFonts w:ascii="Times New Roman" w:hAnsi="Times New Roman" w:cs="Times New Roman"/>
          <w:color w:val="000000" w:themeColor="text1"/>
          <w:sz w:val="24"/>
          <w:szCs w:val="24"/>
        </w:rPr>
        <w:lastRenderedPageBreak/>
        <w:t>Durante dicho período, el Ministerio de Salud deberá concluir las acciones requeridas para la implementación integral del Reglamento para el Control Sanitario Internacional de Embarcaciones en Costa Rica, incluyendo la oficialización de procedimientos técnicos y administrativos, la capacitación y habilitación del personal competente, la dotación de equipo</w:t>
      </w:r>
      <w:r w:rsidR="00FB2B4E" w:rsidRPr="00DC1556">
        <w:rPr>
          <w:rFonts w:ascii="Times New Roman" w:hAnsi="Times New Roman" w:cs="Times New Roman"/>
          <w:color w:val="000000" w:themeColor="text1"/>
          <w:sz w:val="24"/>
          <w:szCs w:val="24"/>
        </w:rPr>
        <w:t xml:space="preserve"> de protección personal y recursos logísticos, el fortalecimiento de los mecanismos de recepción de solicitudes, registro y cobro, la ejecución de pruebas operativas y la consolidación de los mecanismos de coordinación interinstitucional necesarios para la ejecución segura</w:t>
      </w:r>
      <w:r w:rsidR="00DB6436" w:rsidRPr="00DC1556">
        <w:rPr>
          <w:rFonts w:ascii="Times New Roman" w:hAnsi="Times New Roman" w:cs="Times New Roman"/>
          <w:color w:val="000000" w:themeColor="text1"/>
          <w:sz w:val="24"/>
          <w:szCs w:val="24"/>
        </w:rPr>
        <w:t xml:space="preserve"> y eficaz</w:t>
      </w:r>
      <w:r w:rsidR="00FB2B4E" w:rsidRPr="00DC1556">
        <w:rPr>
          <w:rFonts w:ascii="Times New Roman" w:hAnsi="Times New Roman" w:cs="Times New Roman"/>
          <w:color w:val="000000" w:themeColor="text1"/>
          <w:sz w:val="24"/>
          <w:szCs w:val="24"/>
        </w:rPr>
        <w:t xml:space="preserve"> de las inspecciones.</w:t>
      </w:r>
    </w:p>
    <w:p w14:paraId="30AA2BEA" w14:textId="5CD6137B" w:rsidR="00C17D3A" w:rsidRPr="00DC1556" w:rsidRDefault="00FB2B4E" w:rsidP="00590130">
      <w:pPr>
        <w:spacing w:line="360" w:lineRule="auto"/>
        <w:ind w:left="567" w:right="333"/>
        <w:jc w:val="both"/>
        <w:rPr>
          <w:rFonts w:ascii="Times New Roman" w:hAnsi="Times New Roman" w:cs="Times New Roman"/>
          <w:color w:val="000000" w:themeColor="text1"/>
          <w:sz w:val="24"/>
          <w:szCs w:val="24"/>
        </w:rPr>
      </w:pPr>
      <w:r w:rsidRPr="00DC1556">
        <w:rPr>
          <w:rFonts w:ascii="Times New Roman" w:hAnsi="Times New Roman" w:cs="Times New Roman"/>
          <w:color w:val="000000" w:themeColor="text1"/>
          <w:sz w:val="24"/>
          <w:szCs w:val="24"/>
        </w:rPr>
        <w:t xml:space="preserve">La </w:t>
      </w:r>
      <w:r w:rsidR="00F672D7" w:rsidRPr="00DC1556">
        <w:rPr>
          <w:rFonts w:ascii="Times New Roman" w:hAnsi="Times New Roman" w:cs="Times New Roman"/>
          <w:color w:val="000000" w:themeColor="text1"/>
          <w:sz w:val="24"/>
          <w:szCs w:val="24"/>
        </w:rPr>
        <w:t xml:space="preserve">prórroga </w:t>
      </w:r>
      <w:r w:rsidRPr="00DC1556">
        <w:rPr>
          <w:rFonts w:ascii="Times New Roman" w:hAnsi="Times New Roman" w:cs="Times New Roman"/>
          <w:color w:val="000000" w:themeColor="text1"/>
          <w:sz w:val="24"/>
          <w:szCs w:val="24"/>
        </w:rPr>
        <w:t>del período transitorio no suspende ni limita las competencias ordinarias del Ministerio de Salud para ejercer la vigilancia sanitaria, atender eventos de salud pública y aplicar las medidas</w:t>
      </w:r>
      <w:r w:rsidR="00590130" w:rsidRPr="00DC1556">
        <w:rPr>
          <w:rFonts w:ascii="Times New Roman" w:hAnsi="Times New Roman" w:cs="Times New Roman"/>
          <w:color w:val="000000" w:themeColor="text1"/>
          <w:sz w:val="24"/>
          <w:szCs w:val="24"/>
        </w:rPr>
        <w:t xml:space="preserve"> </w:t>
      </w:r>
      <w:r w:rsidR="00093B66" w:rsidRPr="00DC1556">
        <w:rPr>
          <w:rFonts w:ascii="Times New Roman" w:hAnsi="Times New Roman" w:cs="Times New Roman"/>
          <w:color w:val="000000" w:themeColor="text1"/>
          <w:sz w:val="24"/>
          <w:szCs w:val="24"/>
        </w:rPr>
        <w:t>especiales previstas</w:t>
      </w:r>
      <w:r w:rsidRPr="00DC1556">
        <w:rPr>
          <w:rFonts w:ascii="Times New Roman" w:hAnsi="Times New Roman" w:cs="Times New Roman"/>
          <w:color w:val="000000" w:themeColor="text1"/>
          <w:sz w:val="24"/>
          <w:szCs w:val="24"/>
        </w:rPr>
        <w:t xml:space="preserve"> en </w:t>
      </w:r>
      <w:r w:rsidR="00590130" w:rsidRPr="00DC1556">
        <w:rPr>
          <w:rFonts w:ascii="Times New Roman" w:hAnsi="Times New Roman" w:cs="Times New Roman"/>
          <w:color w:val="000000" w:themeColor="text1"/>
          <w:sz w:val="24"/>
          <w:szCs w:val="24"/>
        </w:rPr>
        <w:t xml:space="preserve">los artículos 355 y 356 de </w:t>
      </w:r>
      <w:r w:rsidRPr="00DC1556">
        <w:rPr>
          <w:rFonts w:ascii="Times New Roman" w:hAnsi="Times New Roman" w:cs="Times New Roman"/>
          <w:color w:val="000000" w:themeColor="text1"/>
          <w:sz w:val="24"/>
          <w:szCs w:val="24"/>
        </w:rPr>
        <w:t>la Ley General de Salud</w:t>
      </w:r>
      <w:r w:rsidR="001E1BD4" w:rsidRPr="00DC1556">
        <w:rPr>
          <w:rFonts w:ascii="Times New Roman" w:hAnsi="Times New Roman" w:cs="Times New Roman"/>
          <w:color w:val="000000" w:themeColor="text1"/>
          <w:sz w:val="24"/>
          <w:szCs w:val="24"/>
        </w:rPr>
        <w:t xml:space="preserve"> </w:t>
      </w:r>
      <w:r w:rsidRPr="00DC1556">
        <w:rPr>
          <w:rFonts w:ascii="Times New Roman" w:hAnsi="Times New Roman" w:cs="Times New Roman"/>
          <w:color w:val="000000" w:themeColor="text1"/>
          <w:sz w:val="24"/>
          <w:szCs w:val="24"/>
        </w:rPr>
        <w:t xml:space="preserve">y </w:t>
      </w:r>
      <w:r w:rsidR="001E1BD4" w:rsidRPr="00DC1556">
        <w:rPr>
          <w:rFonts w:ascii="Times New Roman" w:hAnsi="Times New Roman" w:cs="Times New Roman"/>
          <w:color w:val="000000" w:themeColor="text1"/>
          <w:sz w:val="24"/>
          <w:szCs w:val="24"/>
        </w:rPr>
        <w:t xml:space="preserve">el </w:t>
      </w:r>
      <w:r w:rsidR="00590130" w:rsidRPr="00DC1556">
        <w:rPr>
          <w:rFonts w:ascii="Times New Roman" w:hAnsi="Times New Roman" w:cs="Times New Roman"/>
          <w:color w:val="000000" w:themeColor="text1"/>
          <w:sz w:val="24"/>
          <w:szCs w:val="24"/>
        </w:rPr>
        <w:t>“Decreto Ejecutivo para la Oficialización del Reglamento Sanitario Internacional”</w:t>
      </w:r>
      <w:r w:rsidR="00590130" w:rsidRPr="00DC1556">
        <w:rPr>
          <w:rFonts w:ascii="Times New Roman" w:hAnsi="Times New Roman" w:cs="Times New Roman"/>
          <w:color w:val="000000" w:themeColor="text1"/>
          <w:sz w:val="24"/>
          <w:szCs w:val="24"/>
        </w:rPr>
        <w:t xml:space="preserve">, </w:t>
      </w:r>
      <w:r w:rsidR="001E1BD4" w:rsidRPr="00DC1556">
        <w:rPr>
          <w:rFonts w:ascii="Times New Roman" w:hAnsi="Times New Roman" w:cs="Times New Roman"/>
          <w:color w:val="000000" w:themeColor="text1"/>
          <w:sz w:val="24"/>
          <w:szCs w:val="24"/>
        </w:rPr>
        <w:t>N°34038-S</w:t>
      </w:r>
      <w:r w:rsidRPr="00DC1556">
        <w:rPr>
          <w:rFonts w:ascii="Times New Roman" w:hAnsi="Times New Roman" w:cs="Times New Roman"/>
          <w:color w:val="000000" w:themeColor="text1"/>
          <w:sz w:val="24"/>
          <w:szCs w:val="24"/>
        </w:rPr>
        <w:t>.</w:t>
      </w:r>
      <w:r w:rsidR="001E1BD4" w:rsidRPr="00DC1556">
        <w:rPr>
          <w:rFonts w:ascii="Times New Roman" w:hAnsi="Times New Roman" w:cs="Times New Roman"/>
          <w:color w:val="000000" w:themeColor="text1"/>
          <w:sz w:val="24"/>
          <w:szCs w:val="24"/>
        </w:rPr>
        <w:t xml:space="preserve"> del 1</w:t>
      </w:r>
      <w:r w:rsidR="00A725C0" w:rsidRPr="00DC1556">
        <w:rPr>
          <w:rFonts w:ascii="Times New Roman" w:hAnsi="Times New Roman" w:cs="Times New Roman"/>
          <w:color w:val="000000" w:themeColor="text1"/>
          <w:sz w:val="24"/>
          <w:szCs w:val="24"/>
        </w:rPr>
        <w:t>4</w:t>
      </w:r>
      <w:r w:rsidR="001E1BD4" w:rsidRPr="00DC1556">
        <w:rPr>
          <w:rFonts w:ascii="Times New Roman" w:hAnsi="Times New Roman" w:cs="Times New Roman"/>
          <w:color w:val="000000" w:themeColor="text1"/>
          <w:sz w:val="24"/>
          <w:szCs w:val="24"/>
        </w:rPr>
        <w:t xml:space="preserve"> de </w:t>
      </w:r>
      <w:r w:rsidR="00A725C0" w:rsidRPr="00DC1556">
        <w:rPr>
          <w:rFonts w:ascii="Times New Roman" w:hAnsi="Times New Roman" w:cs="Times New Roman"/>
          <w:color w:val="000000" w:themeColor="text1"/>
          <w:sz w:val="24"/>
          <w:szCs w:val="24"/>
        </w:rPr>
        <w:t>agosto</w:t>
      </w:r>
      <w:r w:rsidR="001E1BD4" w:rsidRPr="00DC1556">
        <w:rPr>
          <w:rFonts w:ascii="Times New Roman" w:hAnsi="Times New Roman" w:cs="Times New Roman"/>
          <w:color w:val="000000" w:themeColor="text1"/>
          <w:sz w:val="24"/>
          <w:szCs w:val="24"/>
        </w:rPr>
        <w:t xml:space="preserve"> del 2007.</w:t>
      </w:r>
    </w:p>
    <w:p w14:paraId="6FB5AB28" w14:textId="77777777" w:rsidR="00093B66" w:rsidRPr="00DC1556" w:rsidRDefault="00093B66" w:rsidP="00C17D3A">
      <w:pPr>
        <w:spacing w:line="360" w:lineRule="auto"/>
        <w:jc w:val="both"/>
        <w:rPr>
          <w:rFonts w:ascii="Times New Roman" w:hAnsi="Times New Roman" w:cs="Times New Roman"/>
          <w:b/>
          <w:bCs/>
          <w:color w:val="000000" w:themeColor="text1"/>
          <w:sz w:val="24"/>
          <w:szCs w:val="24"/>
        </w:rPr>
      </w:pPr>
    </w:p>
    <w:p w14:paraId="053AA597" w14:textId="7468B35B" w:rsidR="00FB2B4E" w:rsidRPr="00DC1556" w:rsidRDefault="00C17D3A" w:rsidP="00C17D3A">
      <w:pPr>
        <w:spacing w:line="360" w:lineRule="auto"/>
        <w:jc w:val="both"/>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 xml:space="preserve">Artículo 2.- </w:t>
      </w:r>
      <w:r w:rsidR="00FB2B4E" w:rsidRPr="00DC1556">
        <w:rPr>
          <w:rFonts w:ascii="Times New Roman" w:hAnsi="Times New Roman" w:cs="Times New Roman"/>
          <w:color w:val="000000" w:themeColor="text1"/>
          <w:sz w:val="24"/>
          <w:szCs w:val="24"/>
        </w:rPr>
        <w:t>El presente Decreto Ejecutivo rige a partir de su publicación en el Diario Oficial La Gaceta.</w:t>
      </w:r>
    </w:p>
    <w:p w14:paraId="5C1AC664" w14:textId="1FA5167D" w:rsidR="00C17D3A" w:rsidRPr="00DC1556" w:rsidRDefault="00FB2B4E" w:rsidP="00C17D3A">
      <w:pPr>
        <w:spacing w:line="360" w:lineRule="auto"/>
        <w:jc w:val="both"/>
        <w:rPr>
          <w:rFonts w:ascii="Times New Roman" w:hAnsi="Times New Roman" w:cs="Times New Roman"/>
          <w:b/>
          <w:bCs/>
          <w:color w:val="000000" w:themeColor="text1"/>
          <w:sz w:val="24"/>
          <w:szCs w:val="24"/>
        </w:rPr>
      </w:pPr>
      <w:r w:rsidRPr="00DC1556">
        <w:rPr>
          <w:rFonts w:ascii="Times New Roman" w:hAnsi="Times New Roman" w:cs="Times New Roman"/>
          <w:color w:val="000000" w:themeColor="text1"/>
          <w:sz w:val="24"/>
          <w:szCs w:val="24"/>
        </w:rPr>
        <w:t>Dado en la Presidencia de la República a los</w:t>
      </w:r>
      <w:r w:rsidR="007105EA" w:rsidRPr="00DC1556">
        <w:rPr>
          <w:rFonts w:ascii="Times New Roman" w:hAnsi="Times New Roman" w:cs="Times New Roman"/>
          <w:color w:val="000000" w:themeColor="text1"/>
          <w:sz w:val="24"/>
          <w:szCs w:val="24"/>
        </w:rPr>
        <w:t xml:space="preserve"> </w:t>
      </w:r>
      <w:proofErr w:type="spellStart"/>
      <w:r w:rsidR="006B7198" w:rsidRPr="00DC1556">
        <w:rPr>
          <w:rFonts w:ascii="Times New Roman" w:hAnsi="Times New Roman" w:cs="Times New Roman"/>
          <w:color w:val="000000" w:themeColor="text1"/>
          <w:sz w:val="24"/>
          <w:szCs w:val="24"/>
          <w:highlight w:val="yellow"/>
        </w:rPr>
        <w:t>xxx</w:t>
      </w:r>
      <w:proofErr w:type="spellEnd"/>
      <w:r w:rsidRPr="00DC1556">
        <w:rPr>
          <w:rFonts w:ascii="Times New Roman" w:hAnsi="Times New Roman" w:cs="Times New Roman"/>
          <w:color w:val="000000" w:themeColor="text1"/>
          <w:sz w:val="24"/>
          <w:szCs w:val="24"/>
        </w:rPr>
        <w:t xml:space="preserve"> días del mes de </w:t>
      </w:r>
      <w:proofErr w:type="spellStart"/>
      <w:r w:rsidR="006B7198" w:rsidRPr="00DC1556">
        <w:rPr>
          <w:rFonts w:ascii="Times New Roman" w:hAnsi="Times New Roman" w:cs="Times New Roman"/>
          <w:color w:val="000000" w:themeColor="text1"/>
          <w:sz w:val="24"/>
          <w:szCs w:val="24"/>
          <w:highlight w:val="yellow"/>
        </w:rPr>
        <w:t>xxx</w:t>
      </w:r>
      <w:proofErr w:type="spellEnd"/>
      <w:r w:rsidRPr="00DC1556">
        <w:rPr>
          <w:rFonts w:ascii="Times New Roman" w:hAnsi="Times New Roman" w:cs="Times New Roman"/>
          <w:color w:val="000000" w:themeColor="text1"/>
          <w:sz w:val="24"/>
          <w:szCs w:val="24"/>
        </w:rPr>
        <w:t xml:space="preserve"> del dos mil veintiséis.</w:t>
      </w:r>
    </w:p>
    <w:p w14:paraId="140F950E" w14:textId="77777777" w:rsidR="00C17D3A" w:rsidRPr="00DC1556" w:rsidRDefault="00C17D3A" w:rsidP="00C17D3A">
      <w:pPr>
        <w:spacing w:line="360" w:lineRule="auto"/>
        <w:jc w:val="both"/>
        <w:rPr>
          <w:rFonts w:ascii="Times New Roman" w:hAnsi="Times New Roman" w:cs="Times New Roman"/>
          <w:color w:val="000000" w:themeColor="text1"/>
          <w:sz w:val="24"/>
          <w:szCs w:val="24"/>
        </w:rPr>
      </w:pPr>
    </w:p>
    <w:p w14:paraId="1E914049" w14:textId="77777777" w:rsidR="00FB06A9" w:rsidRPr="00DC1556" w:rsidRDefault="00FB06A9" w:rsidP="00C17D3A">
      <w:pPr>
        <w:spacing w:line="360" w:lineRule="auto"/>
        <w:jc w:val="both"/>
        <w:rPr>
          <w:rFonts w:ascii="Times New Roman" w:hAnsi="Times New Roman" w:cs="Times New Roman"/>
          <w:color w:val="000000" w:themeColor="text1"/>
          <w:sz w:val="24"/>
          <w:szCs w:val="24"/>
        </w:rPr>
      </w:pPr>
    </w:p>
    <w:p w14:paraId="34D604DE" w14:textId="6C4B138A" w:rsidR="00C17D3A" w:rsidRPr="00DC1556" w:rsidRDefault="00325064" w:rsidP="00C17D3A">
      <w:pPr>
        <w:spacing w:line="360" w:lineRule="auto"/>
        <w:jc w:val="center"/>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LAU</w:t>
      </w:r>
      <w:r w:rsidR="00BA59F8" w:rsidRPr="00DC1556">
        <w:rPr>
          <w:rFonts w:ascii="Times New Roman" w:hAnsi="Times New Roman" w:cs="Times New Roman"/>
          <w:b/>
          <w:bCs/>
          <w:color w:val="000000" w:themeColor="text1"/>
          <w:sz w:val="24"/>
          <w:szCs w:val="24"/>
        </w:rPr>
        <w:t>RA FERN</w:t>
      </w:r>
      <w:r w:rsidR="00103EDA" w:rsidRPr="00DC1556">
        <w:rPr>
          <w:rFonts w:ascii="Times New Roman" w:hAnsi="Times New Roman" w:cs="Times New Roman"/>
          <w:b/>
          <w:bCs/>
          <w:color w:val="000000" w:themeColor="text1"/>
          <w:sz w:val="24"/>
          <w:szCs w:val="24"/>
        </w:rPr>
        <w:t>Á</w:t>
      </w:r>
      <w:r w:rsidR="00BA59F8" w:rsidRPr="00DC1556">
        <w:rPr>
          <w:rFonts w:ascii="Times New Roman" w:hAnsi="Times New Roman" w:cs="Times New Roman"/>
          <w:b/>
          <w:bCs/>
          <w:color w:val="000000" w:themeColor="text1"/>
          <w:sz w:val="24"/>
          <w:szCs w:val="24"/>
        </w:rPr>
        <w:t xml:space="preserve">NDEZ DELGADO </w:t>
      </w:r>
    </w:p>
    <w:p w14:paraId="61F9234A" w14:textId="77777777" w:rsidR="00BA59F8" w:rsidRDefault="00BA59F8" w:rsidP="00C17D3A">
      <w:pPr>
        <w:spacing w:line="360" w:lineRule="auto"/>
        <w:jc w:val="center"/>
        <w:rPr>
          <w:rFonts w:ascii="Times New Roman" w:hAnsi="Times New Roman" w:cs="Times New Roman"/>
          <w:b/>
          <w:bCs/>
          <w:color w:val="000000" w:themeColor="text1"/>
          <w:sz w:val="24"/>
          <w:szCs w:val="24"/>
        </w:rPr>
      </w:pPr>
    </w:p>
    <w:p w14:paraId="7A0AC913" w14:textId="4B023FC9" w:rsidR="00BA59F8" w:rsidRPr="00DC1556" w:rsidRDefault="00BA59F8" w:rsidP="00FB06A9">
      <w:pPr>
        <w:spacing w:after="0" w:line="240" w:lineRule="auto"/>
        <w:jc w:val="center"/>
        <w:rPr>
          <w:rFonts w:ascii="Times New Roman" w:hAnsi="Times New Roman" w:cs="Times New Roman"/>
          <w:b/>
          <w:bCs/>
          <w:color w:val="000000" w:themeColor="text1"/>
          <w:sz w:val="24"/>
          <w:szCs w:val="24"/>
        </w:rPr>
      </w:pPr>
      <w:r w:rsidRPr="00DC1556">
        <w:rPr>
          <w:rFonts w:ascii="Times New Roman" w:hAnsi="Times New Roman" w:cs="Times New Roman"/>
          <w:b/>
          <w:bCs/>
          <w:color w:val="000000" w:themeColor="text1"/>
          <w:sz w:val="24"/>
          <w:szCs w:val="24"/>
        </w:rPr>
        <w:t>DR. ALEXANDER SÁNCHEZ CABO</w:t>
      </w:r>
    </w:p>
    <w:p w14:paraId="405AF3C3" w14:textId="0A970F46" w:rsidR="0024387E" w:rsidRPr="00DC1556" w:rsidRDefault="00FB2B4E" w:rsidP="00FB06A9">
      <w:pPr>
        <w:spacing w:after="0" w:line="240" w:lineRule="auto"/>
        <w:jc w:val="center"/>
        <w:rPr>
          <w:rFonts w:ascii="Times New Roman" w:hAnsi="Times New Roman" w:cs="Times New Roman"/>
          <w:color w:val="000000" w:themeColor="text1"/>
          <w:sz w:val="24"/>
          <w:szCs w:val="24"/>
        </w:rPr>
      </w:pPr>
      <w:r w:rsidRPr="00DC1556">
        <w:rPr>
          <w:rFonts w:ascii="Times New Roman" w:hAnsi="Times New Roman" w:cs="Times New Roman"/>
          <w:b/>
          <w:bCs/>
          <w:color w:val="000000" w:themeColor="text1"/>
          <w:sz w:val="24"/>
          <w:szCs w:val="24"/>
        </w:rPr>
        <w:t>MINISTRO DE SALUD</w:t>
      </w:r>
    </w:p>
    <w:sectPr w:rsidR="0024387E" w:rsidRPr="00DC1556" w:rsidSect="007504EC">
      <w:headerReference w:type="default" r:id="rId8"/>
      <w:footerReference w:type="default" r:id="rId9"/>
      <w:headerReference w:type="first" r:id="rId10"/>
      <w:footerReference w:type="first" r:id="rId11"/>
      <w:pgSz w:w="12240" w:h="15840"/>
      <w:pgMar w:top="1417" w:right="1701" w:bottom="1417" w:left="1701" w:header="0" w:footer="96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06E6" w14:textId="77777777" w:rsidR="00F67194" w:rsidRDefault="00F67194" w:rsidP="009D1ABF">
      <w:pPr>
        <w:spacing w:after="0" w:line="240" w:lineRule="auto"/>
      </w:pPr>
      <w:r>
        <w:separator/>
      </w:r>
    </w:p>
  </w:endnote>
  <w:endnote w:type="continuationSeparator" w:id="0">
    <w:p w14:paraId="070B43DB" w14:textId="77777777" w:rsidR="00F67194" w:rsidRDefault="00F67194" w:rsidP="009D1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696852"/>
      <w:docPartObj>
        <w:docPartGallery w:val="Page Numbers (Bottom of Page)"/>
        <w:docPartUnique/>
      </w:docPartObj>
    </w:sdtPr>
    <w:sdtEndPr>
      <w:rPr>
        <w:rFonts w:ascii="Times New Roman" w:hAnsi="Times New Roman" w:cs="Times New Roman"/>
        <w:sz w:val="24"/>
        <w:szCs w:val="24"/>
      </w:rPr>
    </w:sdtEndPr>
    <w:sdtContent>
      <w:p w14:paraId="09492925" w14:textId="720B1193" w:rsidR="0083173A" w:rsidRPr="0083173A" w:rsidRDefault="0083173A">
        <w:pPr>
          <w:pStyle w:val="Piedepgina"/>
          <w:jc w:val="right"/>
          <w:rPr>
            <w:rFonts w:ascii="Times New Roman" w:hAnsi="Times New Roman" w:cs="Times New Roman"/>
            <w:sz w:val="24"/>
            <w:szCs w:val="24"/>
          </w:rPr>
        </w:pPr>
        <w:r w:rsidRPr="0083173A">
          <w:rPr>
            <w:rFonts w:ascii="Times New Roman" w:hAnsi="Times New Roman" w:cs="Times New Roman"/>
            <w:sz w:val="24"/>
            <w:szCs w:val="24"/>
          </w:rPr>
          <w:fldChar w:fldCharType="begin"/>
        </w:r>
        <w:r w:rsidRPr="0083173A">
          <w:rPr>
            <w:rFonts w:ascii="Times New Roman" w:hAnsi="Times New Roman" w:cs="Times New Roman"/>
            <w:sz w:val="24"/>
            <w:szCs w:val="24"/>
          </w:rPr>
          <w:instrText>PAGE   \* MERGEFORMAT</w:instrText>
        </w:r>
        <w:r w:rsidRPr="0083173A">
          <w:rPr>
            <w:rFonts w:ascii="Times New Roman" w:hAnsi="Times New Roman" w:cs="Times New Roman"/>
            <w:sz w:val="24"/>
            <w:szCs w:val="24"/>
          </w:rPr>
          <w:fldChar w:fldCharType="separate"/>
        </w:r>
        <w:r w:rsidRPr="0083173A">
          <w:rPr>
            <w:rFonts w:ascii="Times New Roman" w:hAnsi="Times New Roman" w:cs="Times New Roman"/>
            <w:sz w:val="24"/>
            <w:szCs w:val="24"/>
            <w:lang w:val="es-ES"/>
          </w:rPr>
          <w:t>2</w:t>
        </w:r>
        <w:r w:rsidRPr="0083173A">
          <w:rPr>
            <w:rFonts w:ascii="Times New Roman" w:hAnsi="Times New Roman" w:cs="Times New Roman"/>
            <w:sz w:val="24"/>
            <w:szCs w:val="24"/>
          </w:rPr>
          <w:fldChar w:fldCharType="end"/>
        </w:r>
      </w:p>
    </w:sdtContent>
  </w:sdt>
  <w:p w14:paraId="514402A1" w14:textId="2A64D64E" w:rsidR="006C1474" w:rsidRPr="00385978" w:rsidRDefault="006C1474">
    <w:pPr>
      <w:pStyle w:val="Piedepgina"/>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2995"/>
      <w:gridCol w:w="2917"/>
    </w:tblGrid>
    <w:tr w:rsidR="004F7EC1" w:rsidRPr="00385978" w14:paraId="4BE602C2" w14:textId="77777777" w:rsidTr="004F7EC1">
      <w:tc>
        <w:tcPr>
          <w:tcW w:w="2916" w:type="dxa"/>
        </w:tcPr>
        <w:p w14:paraId="316DB497" w14:textId="39E788EC" w:rsidR="004F7EC1" w:rsidRPr="00385978" w:rsidRDefault="00385978">
          <w:pPr>
            <w:pStyle w:val="Piedepgina"/>
            <w:rPr>
              <w:rFonts w:ascii="Times New Roman" w:hAnsi="Times New Roman" w:cs="Times New Roman"/>
            </w:rPr>
          </w:pPr>
          <w:r w:rsidRPr="00385978">
            <w:rPr>
              <w:rFonts w:ascii="Times New Roman" w:hAnsi="Times New Roman" w:cs="Times New Roman"/>
            </w:rPr>
            <w:t>San José, calle 16 avenida 6 y 8</w:t>
          </w:r>
        </w:p>
      </w:tc>
      <w:tc>
        <w:tcPr>
          <w:tcW w:w="2995" w:type="dxa"/>
        </w:tcPr>
        <w:p w14:paraId="58B5C332" w14:textId="7338B0DB" w:rsidR="004F7EC1" w:rsidRPr="00385978" w:rsidRDefault="004F7EC1">
          <w:pPr>
            <w:pStyle w:val="Piedepgina"/>
            <w:rPr>
              <w:rFonts w:ascii="Times New Roman" w:hAnsi="Times New Roman" w:cs="Times New Roman"/>
            </w:rPr>
          </w:pPr>
          <w:r w:rsidRPr="00385978">
            <w:rPr>
              <w:rFonts w:ascii="Times New Roman" w:hAnsi="Times New Roman" w:cs="Times New Roman"/>
            </w:rPr>
            <w:t>Tel. 0000-0000 / 0000-0000</w:t>
          </w:r>
        </w:p>
      </w:tc>
      <w:tc>
        <w:tcPr>
          <w:tcW w:w="2917" w:type="dxa"/>
        </w:tcPr>
        <w:p w14:paraId="500E33CC" w14:textId="66F1006D" w:rsidR="004F7EC1" w:rsidRPr="00385978" w:rsidRDefault="004F7EC1">
          <w:pPr>
            <w:pStyle w:val="Piedepgina"/>
            <w:rPr>
              <w:rFonts w:ascii="Times New Roman" w:hAnsi="Times New Roman" w:cs="Times New Roman"/>
            </w:rPr>
          </w:pPr>
          <w:r w:rsidRPr="00385978">
            <w:rPr>
              <w:rFonts w:ascii="Times New Roman" w:hAnsi="Times New Roman" w:cs="Times New Roman"/>
            </w:rPr>
            <w:t>Correo electrónico de la unidad organizativa productora</w:t>
          </w:r>
        </w:p>
      </w:tc>
    </w:tr>
  </w:tbl>
  <w:p w14:paraId="28DB5CF9" w14:textId="122A31B2" w:rsidR="004F7EC1" w:rsidRDefault="004F7EC1" w:rsidP="004F7EC1">
    <w:pPr>
      <w:pStyle w:val="Piedepgina"/>
    </w:pPr>
    <w:r>
      <w:rPr>
        <w:noProof/>
      </w:rPr>
      <w:drawing>
        <wp:anchor distT="0" distB="0" distL="114300" distR="114300" simplePos="0" relativeHeight="251661312" behindDoc="0" locked="1" layoutInCell="1" allowOverlap="1" wp14:anchorId="77C13CA6" wp14:editId="1749FC43">
          <wp:simplePos x="0" y="0"/>
          <wp:positionH relativeFrom="page">
            <wp:align>left</wp:align>
          </wp:positionH>
          <wp:positionV relativeFrom="paragraph">
            <wp:posOffset>264795</wp:posOffset>
          </wp:positionV>
          <wp:extent cx="7764780" cy="546735"/>
          <wp:effectExtent l="0" t="0" r="7620" b="5715"/>
          <wp:wrapSquare wrapText="bothSides"/>
          <wp:docPr id="16051803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67003" name="Picture 959067003"/>
                  <pic:cNvPicPr/>
                </pic:nvPicPr>
                <pic:blipFill>
                  <a:blip r:embed="rId1">
                    <a:extLst>
                      <a:ext uri="{28A0092B-C50C-407E-A947-70E740481C1C}">
                        <a14:useLocalDpi xmlns:a14="http://schemas.microsoft.com/office/drawing/2010/main" val="0"/>
                      </a:ext>
                    </a:extLst>
                  </a:blip>
                  <a:stretch>
                    <a:fillRect/>
                  </a:stretch>
                </pic:blipFill>
                <pic:spPr>
                  <a:xfrm>
                    <a:off x="0" y="0"/>
                    <a:ext cx="7764780" cy="5467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9DD0D" w14:textId="77777777" w:rsidR="00F67194" w:rsidRDefault="00F67194" w:rsidP="009D1ABF">
      <w:pPr>
        <w:spacing w:after="0" w:line="240" w:lineRule="auto"/>
      </w:pPr>
      <w:r>
        <w:separator/>
      </w:r>
    </w:p>
  </w:footnote>
  <w:footnote w:type="continuationSeparator" w:id="0">
    <w:p w14:paraId="44D9C48B" w14:textId="77777777" w:rsidR="00F67194" w:rsidRDefault="00F67194" w:rsidP="009D1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77D2" w14:textId="77777777" w:rsidR="00DC1556" w:rsidRDefault="00DC1556" w:rsidP="00F42EDA">
    <w:pPr>
      <w:pStyle w:val="Encabezado"/>
      <w:jc w:val="center"/>
      <w:rPr>
        <w:rFonts w:ascii="Times New Roman" w:hAnsi="Times New Roman" w:cs="Times New Roman"/>
        <w:sz w:val="24"/>
        <w:szCs w:val="24"/>
      </w:rPr>
    </w:pPr>
  </w:p>
  <w:p w14:paraId="623FA7C4" w14:textId="77777777" w:rsidR="00DC1556" w:rsidRDefault="00DC1556" w:rsidP="00F42EDA">
    <w:pPr>
      <w:pStyle w:val="Encabezado"/>
      <w:jc w:val="center"/>
      <w:rPr>
        <w:rFonts w:ascii="Times New Roman" w:hAnsi="Times New Roman" w:cs="Times New Roman"/>
        <w:sz w:val="24"/>
        <w:szCs w:val="24"/>
      </w:rPr>
    </w:pPr>
  </w:p>
  <w:p w14:paraId="1088CD42" w14:textId="01F9ABC7" w:rsidR="00F42EDA" w:rsidRPr="00DC1556" w:rsidRDefault="00DC1556" w:rsidP="00F42EDA">
    <w:pPr>
      <w:pStyle w:val="Encabezado"/>
      <w:jc w:val="center"/>
      <w:rPr>
        <w:rFonts w:ascii="Times New Roman" w:hAnsi="Times New Roman" w:cs="Times New Roman"/>
        <w:b/>
        <w:bCs/>
        <w:sz w:val="28"/>
        <w:szCs w:val="28"/>
      </w:rPr>
    </w:pPr>
    <w:r w:rsidRPr="00DC1556">
      <w:rPr>
        <w:rFonts w:ascii="Times New Roman" w:hAnsi="Times New Roman" w:cs="Times New Roman"/>
        <w:b/>
        <w:bCs/>
        <w:sz w:val="28"/>
        <w:szCs w:val="28"/>
      </w:rPr>
      <w:t>BORRADOR PARA CONSULTA PÚBLICA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E40E" w14:textId="1BE0E742" w:rsidR="007504EC" w:rsidRDefault="007504EC" w:rsidP="006B41C6">
    <w:pPr>
      <w:pStyle w:val="Encabezado"/>
      <w:tabs>
        <w:tab w:val="clear" w:pos="4419"/>
        <w:tab w:val="clear" w:pos="8838"/>
        <w:tab w:val="left" w:pos="7680"/>
      </w:tabs>
    </w:pPr>
    <w:r>
      <w:rPr>
        <w:noProof/>
      </w:rPr>
      <w:drawing>
        <wp:anchor distT="0" distB="0" distL="114300" distR="114300" simplePos="0" relativeHeight="251659264" behindDoc="0" locked="0" layoutInCell="1" allowOverlap="1" wp14:anchorId="0DF56230" wp14:editId="4155E7F5">
          <wp:simplePos x="0" y="0"/>
          <wp:positionH relativeFrom="page">
            <wp:align>right</wp:align>
          </wp:positionH>
          <wp:positionV relativeFrom="paragraph">
            <wp:posOffset>35560</wp:posOffset>
          </wp:positionV>
          <wp:extent cx="7770495" cy="1047750"/>
          <wp:effectExtent l="0" t="0" r="1905" b="0"/>
          <wp:wrapSquare wrapText="bothSides"/>
          <wp:docPr id="1173014316" name="Picture 1" descr="A white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21113" name="Picture 1" descr="A white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0495" cy="1047750"/>
                  </a:xfrm>
                  <a:prstGeom prst="rect">
                    <a:avLst/>
                  </a:prstGeom>
                </pic:spPr>
              </pic:pic>
            </a:graphicData>
          </a:graphic>
          <wp14:sizeRelH relativeFrom="page">
            <wp14:pctWidth>0</wp14:pctWidth>
          </wp14:sizeRelH>
          <wp14:sizeRelV relativeFrom="page">
            <wp14:pctHeight>0</wp14:pctHeight>
          </wp14:sizeRelV>
        </wp:anchor>
      </w:drawing>
    </w:r>
  </w:p>
  <w:p w14:paraId="36BDFD21" w14:textId="7AFE7600" w:rsidR="007504EC" w:rsidRPr="007825E0" w:rsidRDefault="007504EC" w:rsidP="007504EC">
    <w:pPr>
      <w:spacing w:line="240" w:lineRule="auto"/>
      <w:jc w:val="both"/>
      <w:rPr>
        <w:rFonts w:ascii="Times New Roman" w:hAnsi="Times New Roman" w:cs="Times New Roman"/>
        <w:sz w:val="24"/>
        <w:szCs w:val="24"/>
      </w:rPr>
    </w:pPr>
    <w:r>
      <w:rPr>
        <w:rFonts w:ascii="Times New Roman" w:hAnsi="Times New Roman" w:cs="Times New Roman"/>
        <w:sz w:val="24"/>
        <w:szCs w:val="24"/>
      </w:rPr>
      <w:t>28</w:t>
    </w:r>
    <w:r w:rsidRPr="007825E0">
      <w:rPr>
        <w:rFonts w:ascii="Times New Roman" w:hAnsi="Times New Roman" w:cs="Times New Roman"/>
        <w:sz w:val="24"/>
        <w:szCs w:val="24"/>
      </w:rPr>
      <w:t xml:space="preserve"> de enero de 2025 </w:t>
    </w:r>
  </w:p>
  <w:p w14:paraId="144E946E" w14:textId="0F01DA89" w:rsidR="006B41C6" w:rsidRPr="007504EC" w:rsidRDefault="007504EC" w:rsidP="007504EC">
    <w:pPr>
      <w:spacing w:line="240" w:lineRule="auto"/>
      <w:jc w:val="both"/>
      <w:rPr>
        <w:rFonts w:ascii="Times New Roman" w:hAnsi="Times New Roman" w:cs="Times New Roman"/>
        <w:sz w:val="24"/>
        <w:szCs w:val="24"/>
      </w:rPr>
    </w:pPr>
    <w:r w:rsidRPr="007825E0">
      <w:rPr>
        <w:rFonts w:ascii="Times New Roman" w:hAnsi="Times New Roman" w:cs="Times New Roman"/>
        <w:sz w:val="24"/>
        <w:szCs w:val="24"/>
      </w:rPr>
      <w:t>CARTA-MS-XX-XXX-2025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B52CA"/>
    <w:multiLevelType w:val="hybridMultilevel"/>
    <w:tmpl w:val="9E0A4F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44343A53"/>
    <w:multiLevelType w:val="hybridMultilevel"/>
    <w:tmpl w:val="86026D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8A05937"/>
    <w:multiLevelType w:val="hybridMultilevel"/>
    <w:tmpl w:val="9E04A3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6829468C"/>
    <w:multiLevelType w:val="hybridMultilevel"/>
    <w:tmpl w:val="741CEC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C3632C7"/>
    <w:multiLevelType w:val="multilevel"/>
    <w:tmpl w:val="4E5EE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3104AF"/>
    <w:multiLevelType w:val="hybridMultilevel"/>
    <w:tmpl w:val="BFD835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543253791">
    <w:abstractNumId w:val="5"/>
  </w:num>
  <w:num w:numId="2" w16cid:durableId="1700934203">
    <w:abstractNumId w:val="1"/>
  </w:num>
  <w:num w:numId="3" w16cid:durableId="115174651">
    <w:abstractNumId w:val="0"/>
  </w:num>
  <w:num w:numId="4" w16cid:durableId="2093694285">
    <w:abstractNumId w:val="3"/>
  </w:num>
  <w:num w:numId="5" w16cid:durableId="663823132">
    <w:abstractNumId w:val="4"/>
  </w:num>
  <w:num w:numId="6" w16cid:durableId="384333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BF"/>
    <w:rsid w:val="00017D0E"/>
    <w:rsid w:val="000216F5"/>
    <w:rsid w:val="000253F8"/>
    <w:rsid w:val="00030083"/>
    <w:rsid w:val="000429D8"/>
    <w:rsid w:val="000610E7"/>
    <w:rsid w:val="0006346A"/>
    <w:rsid w:val="00092852"/>
    <w:rsid w:val="00093B66"/>
    <w:rsid w:val="000A227E"/>
    <w:rsid w:val="000A4CF8"/>
    <w:rsid w:val="000B3C1B"/>
    <w:rsid w:val="000C68FF"/>
    <w:rsid w:val="000D14E8"/>
    <w:rsid w:val="000F7CDD"/>
    <w:rsid w:val="001006A5"/>
    <w:rsid w:val="00103BF2"/>
    <w:rsid w:val="00103EDA"/>
    <w:rsid w:val="00113127"/>
    <w:rsid w:val="00122F6C"/>
    <w:rsid w:val="00134C6C"/>
    <w:rsid w:val="00187105"/>
    <w:rsid w:val="001968C1"/>
    <w:rsid w:val="001B0963"/>
    <w:rsid w:val="001E1BD4"/>
    <w:rsid w:val="00220862"/>
    <w:rsid w:val="00233A29"/>
    <w:rsid w:val="0024387E"/>
    <w:rsid w:val="00250622"/>
    <w:rsid w:val="00272ECA"/>
    <w:rsid w:val="00275409"/>
    <w:rsid w:val="00284D84"/>
    <w:rsid w:val="002860D8"/>
    <w:rsid w:val="00291F5B"/>
    <w:rsid w:val="002A1F45"/>
    <w:rsid w:val="002B57C2"/>
    <w:rsid w:val="002C2295"/>
    <w:rsid w:val="002C3777"/>
    <w:rsid w:val="002C650C"/>
    <w:rsid w:val="002C7ABF"/>
    <w:rsid w:val="002E7D58"/>
    <w:rsid w:val="002F5909"/>
    <w:rsid w:val="003025C5"/>
    <w:rsid w:val="00307791"/>
    <w:rsid w:val="00325064"/>
    <w:rsid w:val="00385978"/>
    <w:rsid w:val="00395B18"/>
    <w:rsid w:val="003C2E30"/>
    <w:rsid w:val="003C6F6F"/>
    <w:rsid w:val="003C717C"/>
    <w:rsid w:val="003D6A98"/>
    <w:rsid w:val="0040522E"/>
    <w:rsid w:val="004156C8"/>
    <w:rsid w:val="00417B9D"/>
    <w:rsid w:val="004243F0"/>
    <w:rsid w:val="00424B1B"/>
    <w:rsid w:val="0043727F"/>
    <w:rsid w:val="00460888"/>
    <w:rsid w:val="00477873"/>
    <w:rsid w:val="00490448"/>
    <w:rsid w:val="00497713"/>
    <w:rsid w:val="004B07CF"/>
    <w:rsid w:val="004B7A02"/>
    <w:rsid w:val="004C31E1"/>
    <w:rsid w:val="004D1A64"/>
    <w:rsid w:val="004F49DD"/>
    <w:rsid w:val="004F7BBC"/>
    <w:rsid w:val="004F7EC1"/>
    <w:rsid w:val="00511F4B"/>
    <w:rsid w:val="00530874"/>
    <w:rsid w:val="00536E11"/>
    <w:rsid w:val="00552720"/>
    <w:rsid w:val="00563290"/>
    <w:rsid w:val="00567FC1"/>
    <w:rsid w:val="00571304"/>
    <w:rsid w:val="00590130"/>
    <w:rsid w:val="005A1E40"/>
    <w:rsid w:val="005D28B7"/>
    <w:rsid w:val="005E0ED1"/>
    <w:rsid w:val="005E167B"/>
    <w:rsid w:val="005F77DC"/>
    <w:rsid w:val="00624E59"/>
    <w:rsid w:val="00640BA9"/>
    <w:rsid w:val="00643C29"/>
    <w:rsid w:val="006517DB"/>
    <w:rsid w:val="006629D4"/>
    <w:rsid w:val="00672FD8"/>
    <w:rsid w:val="0069103E"/>
    <w:rsid w:val="006B25EA"/>
    <w:rsid w:val="006B41C6"/>
    <w:rsid w:val="006B504F"/>
    <w:rsid w:val="006B7198"/>
    <w:rsid w:val="006C1474"/>
    <w:rsid w:val="006C555F"/>
    <w:rsid w:val="006D55A8"/>
    <w:rsid w:val="006E0AAA"/>
    <w:rsid w:val="006E2D75"/>
    <w:rsid w:val="006E4FD5"/>
    <w:rsid w:val="006F075D"/>
    <w:rsid w:val="006F5E49"/>
    <w:rsid w:val="007105EA"/>
    <w:rsid w:val="00715C5E"/>
    <w:rsid w:val="00717759"/>
    <w:rsid w:val="0072261A"/>
    <w:rsid w:val="007504EC"/>
    <w:rsid w:val="0077712F"/>
    <w:rsid w:val="007825E0"/>
    <w:rsid w:val="00785A51"/>
    <w:rsid w:val="007930D1"/>
    <w:rsid w:val="007B6C26"/>
    <w:rsid w:val="007E037B"/>
    <w:rsid w:val="007E66B2"/>
    <w:rsid w:val="0081588E"/>
    <w:rsid w:val="00817525"/>
    <w:rsid w:val="008225ED"/>
    <w:rsid w:val="0083173A"/>
    <w:rsid w:val="00831A43"/>
    <w:rsid w:val="00833A80"/>
    <w:rsid w:val="0083487E"/>
    <w:rsid w:val="00834AB2"/>
    <w:rsid w:val="00856ADF"/>
    <w:rsid w:val="008A18EE"/>
    <w:rsid w:val="008B75A5"/>
    <w:rsid w:val="008C7CE6"/>
    <w:rsid w:val="008F1239"/>
    <w:rsid w:val="00904CA5"/>
    <w:rsid w:val="009159AE"/>
    <w:rsid w:val="00930E81"/>
    <w:rsid w:val="009370AA"/>
    <w:rsid w:val="0094648A"/>
    <w:rsid w:val="00974F2F"/>
    <w:rsid w:val="00975E8B"/>
    <w:rsid w:val="00981E96"/>
    <w:rsid w:val="009C4980"/>
    <w:rsid w:val="009D1ABF"/>
    <w:rsid w:val="009E754C"/>
    <w:rsid w:val="009E75EE"/>
    <w:rsid w:val="009F2A58"/>
    <w:rsid w:val="00A03304"/>
    <w:rsid w:val="00A15191"/>
    <w:rsid w:val="00A15F0E"/>
    <w:rsid w:val="00A21B7A"/>
    <w:rsid w:val="00A55666"/>
    <w:rsid w:val="00A725C0"/>
    <w:rsid w:val="00A80542"/>
    <w:rsid w:val="00AB08F3"/>
    <w:rsid w:val="00AC048B"/>
    <w:rsid w:val="00AC2F3A"/>
    <w:rsid w:val="00AD0359"/>
    <w:rsid w:val="00AD0473"/>
    <w:rsid w:val="00B10CE8"/>
    <w:rsid w:val="00B16DB3"/>
    <w:rsid w:val="00B43CCF"/>
    <w:rsid w:val="00B4739F"/>
    <w:rsid w:val="00B6266D"/>
    <w:rsid w:val="00B64A6C"/>
    <w:rsid w:val="00B81146"/>
    <w:rsid w:val="00BA0457"/>
    <w:rsid w:val="00BA0D78"/>
    <w:rsid w:val="00BA407D"/>
    <w:rsid w:val="00BA59F8"/>
    <w:rsid w:val="00BD2B20"/>
    <w:rsid w:val="00BE3581"/>
    <w:rsid w:val="00C04C6E"/>
    <w:rsid w:val="00C07256"/>
    <w:rsid w:val="00C17D3A"/>
    <w:rsid w:val="00C32D8F"/>
    <w:rsid w:val="00C35502"/>
    <w:rsid w:val="00C77054"/>
    <w:rsid w:val="00CC7791"/>
    <w:rsid w:val="00CC7F3E"/>
    <w:rsid w:val="00CD14FF"/>
    <w:rsid w:val="00CD45CB"/>
    <w:rsid w:val="00D125DB"/>
    <w:rsid w:val="00D24CFA"/>
    <w:rsid w:val="00D333B3"/>
    <w:rsid w:val="00D33C13"/>
    <w:rsid w:val="00D45EE3"/>
    <w:rsid w:val="00D84967"/>
    <w:rsid w:val="00D926D8"/>
    <w:rsid w:val="00D930D2"/>
    <w:rsid w:val="00DB6436"/>
    <w:rsid w:val="00DC1556"/>
    <w:rsid w:val="00DC72BD"/>
    <w:rsid w:val="00E35A7A"/>
    <w:rsid w:val="00E405B9"/>
    <w:rsid w:val="00E4783F"/>
    <w:rsid w:val="00E76BAF"/>
    <w:rsid w:val="00E80730"/>
    <w:rsid w:val="00E868E9"/>
    <w:rsid w:val="00E87234"/>
    <w:rsid w:val="00E92052"/>
    <w:rsid w:val="00ED5232"/>
    <w:rsid w:val="00F06D75"/>
    <w:rsid w:val="00F1314C"/>
    <w:rsid w:val="00F1664B"/>
    <w:rsid w:val="00F2311E"/>
    <w:rsid w:val="00F304C7"/>
    <w:rsid w:val="00F42EDA"/>
    <w:rsid w:val="00F63D14"/>
    <w:rsid w:val="00F67194"/>
    <w:rsid w:val="00F672D7"/>
    <w:rsid w:val="00F82B32"/>
    <w:rsid w:val="00F87229"/>
    <w:rsid w:val="00FA5898"/>
    <w:rsid w:val="00FB06A9"/>
    <w:rsid w:val="00FB2B4E"/>
    <w:rsid w:val="00FB5F33"/>
    <w:rsid w:val="00FD1740"/>
    <w:rsid w:val="00FD4588"/>
    <w:rsid w:val="00FD6342"/>
    <w:rsid w:val="00FF26B3"/>
  </w:rsids>
  <m:mathPr>
    <m:mathFont m:val="Cambria Math"/>
    <m:brkBin m:val="before"/>
    <m:brkBinSub m:val="--"/>
    <m:smallFrac m:val="0"/>
    <m:dispDef/>
    <m:lMargin m:val="0"/>
    <m:rMargin m:val="0"/>
    <m:defJc m:val="centerGroup"/>
    <m:wrapIndent m:val="1440"/>
    <m:intLim m:val="subSup"/>
    <m:naryLim m:val="undOvr"/>
  </m:mathPr>
  <w:themeFontLang w:val="es-C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86659"/>
  <w15:chartTrackingRefBased/>
  <w15:docId w15:val="{3B3AE8F8-638C-48A0-B9DC-D3DCE192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D1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D1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D1AB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D1AB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D1AB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D1AB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D1AB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D1AB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D1AB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1AB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D1AB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D1AB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D1AB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D1AB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D1AB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D1AB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D1AB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D1ABF"/>
    <w:rPr>
      <w:rFonts w:eastAsiaTheme="majorEastAsia" w:cstheme="majorBidi"/>
      <w:color w:val="272727" w:themeColor="text1" w:themeTint="D8"/>
    </w:rPr>
  </w:style>
  <w:style w:type="paragraph" w:styleId="Ttulo">
    <w:name w:val="Title"/>
    <w:basedOn w:val="Normal"/>
    <w:next w:val="Normal"/>
    <w:link w:val="TtuloCar"/>
    <w:uiPriority w:val="10"/>
    <w:qFormat/>
    <w:rsid w:val="009D1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D1AB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D1AB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D1AB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D1ABF"/>
    <w:pPr>
      <w:spacing w:before="160"/>
      <w:jc w:val="center"/>
    </w:pPr>
    <w:rPr>
      <w:i/>
      <w:iCs/>
      <w:color w:val="404040" w:themeColor="text1" w:themeTint="BF"/>
    </w:rPr>
  </w:style>
  <w:style w:type="character" w:customStyle="1" w:styleId="CitaCar">
    <w:name w:val="Cita Car"/>
    <w:basedOn w:val="Fuentedeprrafopredeter"/>
    <w:link w:val="Cita"/>
    <w:uiPriority w:val="29"/>
    <w:rsid w:val="009D1ABF"/>
    <w:rPr>
      <w:i/>
      <w:iCs/>
      <w:color w:val="404040" w:themeColor="text1" w:themeTint="BF"/>
    </w:rPr>
  </w:style>
  <w:style w:type="paragraph" w:styleId="Prrafodelista">
    <w:name w:val="List Paragraph"/>
    <w:basedOn w:val="Normal"/>
    <w:uiPriority w:val="34"/>
    <w:qFormat/>
    <w:rsid w:val="009D1ABF"/>
    <w:pPr>
      <w:ind w:left="720"/>
      <w:contextualSpacing/>
    </w:pPr>
  </w:style>
  <w:style w:type="character" w:styleId="nfasisintenso">
    <w:name w:val="Intense Emphasis"/>
    <w:basedOn w:val="Fuentedeprrafopredeter"/>
    <w:uiPriority w:val="21"/>
    <w:qFormat/>
    <w:rsid w:val="009D1ABF"/>
    <w:rPr>
      <w:i/>
      <w:iCs/>
      <w:color w:val="0F4761" w:themeColor="accent1" w:themeShade="BF"/>
    </w:rPr>
  </w:style>
  <w:style w:type="paragraph" w:styleId="Citadestacada">
    <w:name w:val="Intense Quote"/>
    <w:basedOn w:val="Normal"/>
    <w:next w:val="Normal"/>
    <w:link w:val="CitadestacadaCar"/>
    <w:uiPriority w:val="30"/>
    <w:qFormat/>
    <w:rsid w:val="009D1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D1ABF"/>
    <w:rPr>
      <w:i/>
      <w:iCs/>
      <w:color w:val="0F4761" w:themeColor="accent1" w:themeShade="BF"/>
    </w:rPr>
  </w:style>
  <w:style w:type="character" w:styleId="Referenciaintensa">
    <w:name w:val="Intense Reference"/>
    <w:basedOn w:val="Fuentedeprrafopredeter"/>
    <w:uiPriority w:val="32"/>
    <w:qFormat/>
    <w:rsid w:val="009D1ABF"/>
    <w:rPr>
      <w:b/>
      <w:bCs/>
      <w:smallCaps/>
      <w:color w:val="0F4761" w:themeColor="accent1" w:themeShade="BF"/>
      <w:spacing w:val="5"/>
    </w:rPr>
  </w:style>
  <w:style w:type="paragraph" w:styleId="Encabezado">
    <w:name w:val="header"/>
    <w:basedOn w:val="Normal"/>
    <w:link w:val="EncabezadoCar"/>
    <w:uiPriority w:val="99"/>
    <w:unhideWhenUsed/>
    <w:rsid w:val="009D1A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1ABF"/>
  </w:style>
  <w:style w:type="paragraph" w:styleId="Piedepgina">
    <w:name w:val="footer"/>
    <w:basedOn w:val="Normal"/>
    <w:link w:val="PiedepginaCar"/>
    <w:uiPriority w:val="99"/>
    <w:unhideWhenUsed/>
    <w:rsid w:val="009D1A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1ABF"/>
  </w:style>
  <w:style w:type="table" w:styleId="Tablaconcuadrcula">
    <w:name w:val="Table Grid"/>
    <w:basedOn w:val="Tablanormal"/>
    <w:uiPriority w:val="39"/>
    <w:rsid w:val="004F7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semiHidden/>
    <w:unhideWhenUsed/>
    <w:rsid w:val="00FD6342"/>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FD6342"/>
    <w:rPr>
      <w:rFonts w:ascii="Consolas" w:hAnsi="Consolas"/>
      <w:sz w:val="20"/>
      <w:szCs w:val="20"/>
    </w:rPr>
  </w:style>
  <w:style w:type="character" w:styleId="Hipervnculo">
    <w:name w:val="Hyperlink"/>
    <w:basedOn w:val="Fuentedeprrafopredeter"/>
    <w:uiPriority w:val="99"/>
    <w:unhideWhenUsed/>
    <w:rsid w:val="00AD0473"/>
    <w:rPr>
      <w:color w:val="467886" w:themeColor="hyperlink"/>
      <w:u w:val="single"/>
    </w:rPr>
  </w:style>
  <w:style w:type="character" w:styleId="Mencinsinresolver">
    <w:name w:val="Unresolved Mention"/>
    <w:basedOn w:val="Fuentedeprrafopredeter"/>
    <w:uiPriority w:val="99"/>
    <w:semiHidden/>
    <w:unhideWhenUsed/>
    <w:rsid w:val="00AD0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738312">
      <w:bodyDiv w:val="1"/>
      <w:marLeft w:val="0"/>
      <w:marRight w:val="0"/>
      <w:marTop w:val="0"/>
      <w:marBottom w:val="0"/>
      <w:divBdr>
        <w:top w:val="none" w:sz="0" w:space="0" w:color="auto"/>
        <w:left w:val="none" w:sz="0" w:space="0" w:color="auto"/>
        <w:bottom w:val="none" w:sz="0" w:space="0" w:color="auto"/>
        <w:right w:val="none" w:sz="0" w:space="0" w:color="auto"/>
      </w:divBdr>
    </w:div>
    <w:div w:id="383406645">
      <w:bodyDiv w:val="1"/>
      <w:marLeft w:val="0"/>
      <w:marRight w:val="0"/>
      <w:marTop w:val="0"/>
      <w:marBottom w:val="0"/>
      <w:divBdr>
        <w:top w:val="none" w:sz="0" w:space="0" w:color="auto"/>
        <w:left w:val="none" w:sz="0" w:space="0" w:color="auto"/>
        <w:bottom w:val="none" w:sz="0" w:space="0" w:color="auto"/>
        <w:right w:val="none" w:sz="0" w:space="0" w:color="auto"/>
      </w:divBdr>
    </w:div>
    <w:div w:id="404962583">
      <w:bodyDiv w:val="1"/>
      <w:marLeft w:val="0"/>
      <w:marRight w:val="0"/>
      <w:marTop w:val="0"/>
      <w:marBottom w:val="0"/>
      <w:divBdr>
        <w:top w:val="none" w:sz="0" w:space="0" w:color="auto"/>
        <w:left w:val="none" w:sz="0" w:space="0" w:color="auto"/>
        <w:bottom w:val="none" w:sz="0" w:space="0" w:color="auto"/>
        <w:right w:val="none" w:sz="0" w:space="0" w:color="auto"/>
      </w:divBdr>
    </w:div>
    <w:div w:id="503935116">
      <w:bodyDiv w:val="1"/>
      <w:marLeft w:val="0"/>
      <w:marRight w:val="0"/>
      <w:marTop w:val="0"/>
      <w:marBottom w:val="0"/>
      <w:divBdr>
        <w:top w:val="none" w:sz="0" w:space="0" w:color="auto"/>
        <w:left w:val="none" w:sz="0" w:space="0" w:color="auto"/>
        <w:bottom w:val="none" w:sz="0" w:space="0" w:color="auto"/>
        <w:right w:val="none" w:sz="0" w:space="0" w:color="auto"/>
      </w:divBdr>
    </w:div>
    <w:div w:id="663896092">
      <w:bodyDiv w:val="1"/>
      <w:marLeft w:val="0"/>
      <w:marRight w:val="0"/>
      <w:marTop w:val="0"/>
      <w:marBottom w:val="0"/>
      <w:divBdr>
        <w:top w:val="none" w:sz="0" w:space="0" w:color="auto"/>
        <w:left w:val="none" w:sz="0" w:space="0" w:color="auto"/>
        <w:bottom w:val="none" w:sz="0" w:space="0" w:color="auto"/>
        <w:right w:val="none" w:sz="0" w:space="0" w:color="auto"/>
      </w:divBdr>
    </w:div>
    <w:div w:id="796532516">
      <w:bodyDiv w:val="1"/>
      <w:marLeft w:val="0"/>
      <w:marRight w:val="0"/>
      <w:marTop w:val="0"/>
      <w:marBottom w:val="0"/>
      <w:divBdr>
        <w:top w:val="none" w:sz="0" w:space="0" w:color="auto"/>
        <w:left w:val="none" w:sz="0" w:space="0" w:color="auto"/>
        <w:bottom w:val="none" w:sz="0" w:space="0" w:color="auto"/>
        <w:right w:val="none" w:sz="0" w:space="0" w:color="auto"/>
      </w:divBdr>
    </w:div>
    <w:div w:id="1071661225">
      <w:bodyDiv w:val="1"/>
      <w:marLeft w:val="0"/>
      <w:marRight w:val="0"/>
      <w:marTop w:val="0"/>
      <w:marBottom w:val="0"/>
      <w:divBdr>
        <w:top w:val="none" w:sz="0" w:space="0" w:color="auto"/>
        <w:left w:val="none" w:sz="0" w:space="0" w:color="auto"/>
        <w:bottom w:val="none" w:sz="0" w:space="0" w:color="auto"/>
        <w:right w:val="none" w:sz="0" w:space="0" w:color="auto"/>
      </w:divBdr>
    </w:div>
    <w:div w:id="1380393817">
      <w:bodyDiv w:val="1"/>
      <w:marLeft w:val="0"/>
      <w:marRight w:val="0"/>
      <w:marTop w:val="0"/>
      <w:marBottom w:val="0"/>
      <w:divBdr>
        <w:top w:val="none" w:sz="0" w:space="0" w:color="auto"/>
        <w:left w:val="none" w:sz="0" w:space="0" w:color="auto"/>
        <w:bottom w:val="none" w:sz="0" w:space="0" w:color="auto"/>
        <w:right w:val="none" w:sz="0" w:space="0" w:color="auto"/>
      </w:divBdr>
    </w:div>
    <w:div w:id="1446651300">
      <w:bodyDiv w:val="1"/>
      <w:marLeft w:val="0"/>
      <w:marRight w:val="0"/>
      <w:marTop w:val="0"/>
      <w:marBottom w:val="0"/>
      <w:divBdr>
        <w:top w:val="none" w:sz="0" w:space="0" w:color="auto"/>
        <w:left w:val="none" w:sz="0" w:space="0" w:color="auto"/>
        <w:bottom w:val="none" w:sz="0" w:space="0" w:color="auto"/>
        <w:right w:val="none" w:sz="0" w:space="0" w:color="auto"/>
      </w:divBdr>
    </w:div>
    <w:div w:id="1689715230">
      <w:bodyDiv w:val="1"/>
      <w:marLeft w:val="0"/>
      <w:marRight w:val="0"/>
      <w:marTop w:val="0"/>
      <w:marBottom w:val="0"/>
      <w:divBdr>
        <w:top w:val="none" w:sz="0" w:space="0" w:color="auto"/>
        <w:left w:val="none" w:sz="0" w:space="0" w:color="auto"/>
        <w:bottom w:val="none" w:sz="0" w:space="0" w:color="auto"/>
        <w:right w:val="none" w:sz="0" w:space="0" w:color="auto"/>
      </w:divBdr>
    </w:div>
    <w:div w:id="210626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inisteriodesalud.go.c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Pages>
  <Words>1543</Words>
  <Characters>8488</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Brayan Hernández Víquez</dc:creator>
  <cp:keywords/>
  <dc:description/>
  <cp:lastModifiedBy>Cindy  Bolaños Zúñiga</cp:lastModifiedBy>
  <cp:revision>5</cp:revision>
  <cp:lastPrinted>2026-06-17T21:22:00Z</cp:lastPrinted>
  <dcterms:created xsi:type="dcterms:W3CDTF">2026-10-28T17:40:00Z</dcterms:created>
  <dcterms:modified xsi:type="dcterms:W3CDTF">2026-10-28T21:33:00Z</dcterms:modified>
</cp:coreProperties>
</file>