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ECC" w:rsidRDefault="00A82ECC" w:rsidP="00137EF7">
      <w:pPr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DEFINICIÓN</w:t>
      </w:r>
    </w:p>
    <w:p w:rsidR="00E00DBB" w:rsidRDefault="00A82ECC" w:rsidP="00137EF7">
      <w:pPr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Encapsulación</w:t>
      </w:r>
      <w:r>
        <w:rPr>
          <w:sz w:val="23"/>
          <w:szCs w:val="23"/>
        </w:rPr>
        <w:t>: consiste en la inmovilización de los productos farmacéuticos o químicos en un bloque sólido dentro de un tambor de plástico o de acero. Para ello se coloca una base constituida de mezcla de cemento, cal, agua y arena en el fondo de un tambor (empaque exterior). Los residuos se colocan dentro de un contenedor de plástico de alta densidad, ocupando aproximadamente el 75% de la capacidad del empaque exterior con medicamentos o materias primas sólidas o semisólidas, y luego se rellena el espacio restante con la mezcla indicada anteriormente.</w:t>
      </w:r>
    </w:p>
    <w:p w:rsidR="00A82ECC" w:rsidRPr="002F2937" w:rsidRDefault="00A82ECC" w:rsidP="00137EF7">
      <w:pPr>
        <w:pStyle w:val="Default"/>
        <w:jc w:val="both"/>
      </w:pPr>
      <w:r>
        <w:rPr>
          <w:sz w:val="23"/>
          <w:szCs w:val="23"/>
        </w:rPr>
        <w:t>Tomado de</w:t>
      </w:r>
      <w:proofErr w:type="gramStart"/>
      <w:r>
        <w:rPr>
          <w:sz w:val="23"/>
          <w:szCs w:val="23"/>
        </w:rPr>
        <w:t xml:space="preserve">: </w:t>
      </w:r>
      <w:r>
        <w:t xml:space="preserve"> </w:t>
      </w:r>
      <w:r w:rsidRPr="002F2937">
        <w:rPr>
          <w:rFonts w:asciiTheme="minorHAnsi" w:hAnsiTheme="minorHAnsi" w:cstheme="minorHAnsi"/>
          <w:b/>
          <w:bCs/>
          <w:sz w:val="22"/>
          <w:szCs w:val="22"/>
        </w:rPr>
        <w:t>Reglamento</w:t>
      </w:r>
      <w:proofErr w:type="gramEnd"/>
      <w:r w:rsidRPr="002F2937">
        <w:rPr>
          <w:rFonts w:asciiTheme="minorHAnsi" w:hAnsiTheme="minorHAnsi" w:cstheme="minorHAnsi"/>
          <w:b/>
          <w:bCs/>
          <w:sz w:val="22"/>
          <w:szCs w:val="22"/>
        </w:rPr>
        <w:t xml:space="preserve"> para la disposición final de medicamentos, materias primas, y sus residuos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2F2937">
        <w:rPr>
          <w:rFonts w:asciiTheme="minorHAnsi" w:hAnsiTheme="minorHAnsi" w:cstheme="minorHAnsi"/>
          <w:b/>
          <w:bCs/>
          <w:sz w:val="22"/>
          <w:szCs w:val="22"/>
        </w:rPr>
        <w:t>Nº 36039-S</w:t>
      </w:r>
    </w:p>
    <w:p w:rsidR="00A82ECC" w:rsidRDefault="00A82ECC"/>
    <w:sectPr w:rsidR="00A82ECC" w:rsidSect="00E00DB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2ECC"/>
    <w:rsid w:val="00137EF7"/>
    <w:rsid w:val="009C7BEF"/>
    <w:rsid w:val="00A82ECC"/>
    <w:rsid w:val="00E00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DB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A82EC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577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fernando</cp:lastModifiedBy>
  <cp:revision>2</cp:revision>
  <dcterms:created xsi:type="dcterms:W3CDTF">2012-02-24T14:58:00Z</dcterms:created>
  <dcterms:modified xsi:type="dcterms:W3CDTF">2012-02-24T15:38:00Z</dcterms:modified>
</cp:coreProperties>
</file>