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2F6" w:rsidRPr="00DE72F6" w:rsidRDefault="00DE72F6" w:rsidP="00DE72F6">
      <w:pPr>
        <w:spacing w:before="100" w:beforeAutospacing="1" w:after="100" w:afterAutospacing="1" w:line="240" w:lineRule="auto"/>
        <w:jc w:val="center"/>
        <w:rPr>
          <w:rFonts w:ascii="Times New Roman" w:eastAsia="Times New Roman" w:hAnsi="Times New Roman" w:cs="Times New Roman"/>
          <w:color w:val="000000"/>
          <w:sz w:val="24"/>
          <w:szCs w:val="24"/>
          <w:lang w:eastAsia="es-CR"/>
        </w:rPr>
      </w:pPr>
      <w:r>
        <w:rPr>
          <w:rFonts w:ascii="Times New Roman" w:eastAsia="Times New Roman" w:hAnsi="Times New Roman" w:cs="Times New Roman"/>
          <w:noProof/>
          <w:color w:val="000000"/>
          <w:sz w:val="24"/>
          <w:szCs w:val="24"/>
          <w:lang w:eastAsia="es-CR"/>
        </w:rPr>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3419475" cy="590550"/>
            <wp:effectExtent l="19050" t="0" r="9525" b="0"/>
            <wp:wrapSquare wrapText="bothSides"/>
            <wp:docPr id="4" name="Imagen 2" descr="Manejo ambiental del plást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nejo ambiental del plástico"/>
                    <pic:cNvPicPr>
                      <a:picLocks noChangeAspect="1" noChangeArrowheads="1"/>
                    </pic:cNvPicPr>
                  </pic:nvPicPr>
                  <pic:blipFill>
                    <a:blip r:embed="rId4" cstate="print"/>
                    <a:srcRect/>
                    <a:stretch>
                      <a:fillRect/>
                    </a:stretch>
                  </pic:blipFill>
                  <pic:spPr bwMode="auto">
                    <a:xfrm>
                      <a:off x="0" y="0"/>
                      <a:ext cx="3419475" cy="590550"/>
                    </a:xfrm>
                    <a:prstGeom prst="rect">
                      <a:avLst/>
                    </a:prstGeom>
                    <a:noFill/>
                    <a:ln w="9525">
                      <a:noFill/>
                      <a:miter lim="800000"/>
                      <a:headEnd/>
                      <a:tailEnd/>
                    </a:ln>
                  </pic:spPr>
                </pic:pic>
              </a:graphicData>
            </a:graphic>
          </wp:anchor>
        </w:drawing>
      </w:r>
      <w:r>
        <w:rPr>
          <w:rFonts w:ascii="Times New Roman" w:eastAsia="Times New Roman" w:hAnsi="Times New Roman" w:cs="Times New Roman"/>
          <w:noProof/>
          <w:color w:val="000000"/>
          <w:sz w:val="24"/>
          <w:szCs w:val="24"/>
          <w:lang w:eastAsia="es-CR"/>
        </w:rPr>
        <w:drawing>
          <wp:inline distT="0" distB="0" distL="0" distR="0">
            <wp:extent cx="1209675" cy="533400"/>
            <wp:effectExtent l="19050" t="0" r="9525" b="0"/>
            <wp:docPr id="1" name="Imagen 1" descr="CEPIS/OPS/O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PIS/OPS/OMS"/>
                    <pic:cNvPicPr>
                      <a:picLocks noChangeAspect="1" noChangeArrowheads="1"/>
                    </pic:cNvPicPr>
                  </pic:nvPicPr>
                  <pic:blipFill>
                    <a:blip r:embed="rId5" cstate="print"/>
                    <a:srcRect/>
                    <a:stretch>
                      <a:fillRect/>
                    </a:stretch>
                  </pic:blipFill>
                  <pic:spPr bwMode="auto">
                    <a:xfrm>
                      <a:off x="0" y="0"/>
                      <a:ext cx="1209675" cy="533400"/>
                    </a:xfrm>
                    <a:prstGeom prst="rect">
                      <a:avLst/>
                    </a:prstGeom>
                    <a:noFill/>
                    <a:ln w="9525">
                      <a:noFill/>
                      <a:miter lim="800000"/>
                      <a:headEnd/>
                      <a:tailEnd/>
                    </a:ln>
                  </pic:spPr>
                </pic:pic>
              </a:graphicData>
            </a:graphic>
          </wp:inline>
        </w:drawing>
      </w:r>
    </w:p>
    <w:p w:rsidR="00DE72F6" w:rsidRPr="00DE72F6" w:rsidRDefault="00DE72F6" w:rsidP="00DE72F6">
      <w:pPr>
        <w:spacing w:before="100" w:beforeAutospacing="1" w:after="100" w:afterAutospacing="1" w:line="240" w:lineRule="auto"/>
        <w:jc w:val="center"/>
        <w:rPr>
          <w:rFonts w:ascii="Times New Roman" w:eastAsia="Times New Roman" w:hAnsi="Times New Roman" w:cs="Times New Roman"/>
          <w:color w:val="000000"/>
          <w:sz w:val="24"/>
          <w:szCs w:val="24"/>
          <w:lang w:eastAsia="es-CR"/>
        </w:rPr>
      </w:pPr>
      <w:r>
        <w:rPr>
          <w:rFonts w:ascii="Times New Roman" w:eastAsia="Times New Roman" w:hAnsi="Times New Roman" w:cs="Times New Roman"/>
          <w:noProof/>
          <w:color w:val="000000"/>
          <w:sz w:val="24"/>
          <w:szCs w:val="24"/>
          <w:lang w:eastAsia="es-CR"/>
        </w:rPr>
        <w:drawing>
          <wp:inline distT="0" distB="0" distL="0" distR="0">
            <wp:extent cx="5143500" cy="38100"/>
            <wp:effectExtent l="19050" t="0" r="0" b="0"/>
            <wp:docPr id="2" name="Imagen 2" descr="http://www.bvsde.paho.org/comun/grafico/line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vsde.paho.org/comun/grafico/linea.gif"/>
                    <pic:cNvPicPr>
                      <a:picLocks noChangeAspect="1" noChangeArrowheads="1"/>
                    </pic:cNvPicPr>
                  </pic:nvPicPr>
                  <pic:blipFill>
                    <a:blip r:embed="rId6" cstate="print"/>
                    <a:srcRect/>
                    <a:stretch>
                      <a:fillRect/>
                    </a:stretch>
                  </pic:blipFill>
                  <pic:spPr bwMode="auto">
                    <a:xfrm>
                      <a:off x="0" y="0"/>
                      <a:ext cx="5143500" cy="38100"/>
                    </a:xfrm>
                    <a:prstGeom prst="rect">
                      <a:avLst/>
                    </a:prstGeom>
                    <a:noFill/>
                    <a:ln w="9525">
                      <a:noFill/>
                      <a:miter lim="800000"/>
                      <a:headEnd/>
                      <a:tailEnd/>
                    </a:ln>
                  </pic:spPr>
                </pic:pic>
              </a:graphicData>
            </a:graphic>
          </wp:inline>
        </w:drawing>
      </w:r>
    </w:p>
    <w:p w:rsidR="00DE72F6" w:rsidRPr="00DE72F6" w:rsidRDefault="00DE72F6" w:rsidP="00DE72F6">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es-CR"/>
        </w:rPr>
      </w:pPr>
      <w:r w:rsidRPr="00DE72F6">
        <w:rPr>
          <w:rFonts w:ascii="Times New Roman" w:eastAsia="Times New Roman" w:hAnsi="Times New Roman" w:cs="Times New Roman"/>
          <w:b/>
          <w:bCs/>
          <w:color w:val="000000"/>
          <w:sz w:val="27"/>
          <w:szCs w:val="27"/>
          <w:lang w:eastAsia="es-CR"/>
        </w:rPr>
        <w:t>Gestión, recuperación y reciclaje de los desechos municipales: Estrategia para</w:t>
      </w:r>
      <w:r w:rsidRPr="00DE72F6">
        <w:rPr>
          <w:rFonts w:ascii="Times New Roman" w:eastAsia="Times New Roman" w:hAnsi="Times New Roman" w:cs="Times New Roman"/>
          <w:b/>
          <w:bCs/>
          <w:color w:val="000000"/>
          <w:sz w:val="27"/>
          <w:szCs w:val="27"/>
          <w:lang w:eastAsia="es-CR"/>
        </w:rPr>
        <w:br/>
        <w:t>la autosuficiencia en los países en desarrollo</w:t>
      </w:r>
    </w:p>
    <w:p w:rsidR="00DE72F6" w:rsidRPr="00DE72F6" w:rsidRDefault="00DE72F6" w:rsidP="00DE72F6">
      <w:pPr>
        <w:spacing w:before="100" w:beforeAutospacing="1" w:after="100" w:afterAutospacing="1" w:line="240" w:lineRule="auto"/>
        <w:jc w:val="center"/>
        <w:rPr>
          <w:rFonts w:ascii="Times New Roman" w:eastAsia="Times New Roman" w:hAnsi="Times New Roman" w:cs="Times New Roman"/>
          <w:b/>
          <w:bCs/>
          <w:color w:val="000000"/>
          <w:sz w:val="24"/>
          <w:szCs w:val="24"/>
          <w:lang w:eastAsia="es-CR"/>
        </w:rPr>
      </w:pPr>
      <w:r w:rsidRPr="00DE72F6">
        <w:rPr>
          <w:rFonts w:ascii="Times New Roman" w:eastAsia="Times New Roman" w:hAnsi="Times New Roman" w:cs="Times New Roman"/>
          <w:b/>
          <w:bCs/>
          <w:color w:val="000000"/>
          <w:sz w:val="24"/>
          <w:szCs w:val="24"/>
          <w:lang w:eastAsia="es-CR"/>
        </w:rPr>
        <w:t>Dr. C</w:t>
      </w:r>
      <w:r w:rsidRPr="00DE72F6">
        <w:rPr>
          <w:rFonts w:ascii="Times New Roman" w:eastAsia="Times New Roman" w:hAnsi="Times New Roman" w:cs="Times New Roman"/>
          <w:color w:val="000000"/>
          <w:sz w:val="24"/>
          <w:szCs w:val="24"/>
          <w:lang w:eastAsia="es-CR"/>
        </w:rPr>
        <w:t>a</w:t>
      </w:r>
      <w:r w:rsidRPr="00DE72F6">
        <w:rPr>
          <w:rFonts w:ascii="Times New Roman" w:eastAsia="Times New Roman" w:hAnsi="Times New Roman" w:cs="Times New Roman"/>
          <w:b/>
          <w:bCs/>
          <w:color w:val="000000"/>
          <w:sz w:val="24"/>
          <w:szCs w:val="24"/>
          <w:lang w:eastAsia="es-CR"/>
        </w:rPr>
        <w:t xml:space="preserve">rl R. </w:t>
      </w:r>
      <w:proofErr w:type="spellStart"/>
      <w:r w:rsidRPr="00DE72F6">
        <w:rPr>
          <w:rFonts w:ascii="Times New Roman" w:eastAsia="Times New Roman" w:hAnsi="Times New Roman" w:cs="Times New Roman"/>
          <w:b/>
          <w:bCs/>
          <w:color w:val="000000"/>
          <w:sz w:val="24"/>
          <w:szCs w:val="24"/>
          <w:lang w:eastAsia="es-CR"/>
        </w:rPr>
        <w:t>Bartone</w:t>
      </w:r>
      <w:proofErr w:type="spellEnd"/>
      <w:r w:rsidRPr="00DE72F6">
        <w:rPr>
          <w:rFonts w:ascii="Times New Roman" w:eastAsia="Times New Roman" w:hAnsi="Times New Roman" w:cs="Times New Roman"/>
          <w:b/>
          <w:bCs/>
          <w:color w:val="000000"/>
          <w:sz w:val="24"/>
          <w:szCs w:val="24"/>
          <w:lang w:eastAsia="es-CR"/>
        </w:rPr>
        <w:t xml:space="preserve">* </w:t>
      </w:r>
    </w:p>
    <w:tbl>
      <w:tblPr>
        <w:tblW w:w="5000" w:type="pct"/>
        <w:tblCellSpacing w:w="0" w:type="dxa"/>
        <w:tblCellMar>
          <w:left w:w="0" w:type="dxa"/>
          <w:right w:w="0" w:type="dxa"/>
        </w:tblCellMar>
        <w:tblLook w:val="04A0"/>
      </w:tblPr>
      <w:tblGrid>
        <w:gridCol w:w="4021"/>
        <w:gridCol w:w="4817"/>
      </w:tblGrid>
      <w:tr w:rsidR="00DE72F6" w:rsidRPr="00DE72F6" w:rsidTr="00DE72F6">
        <w:trPr>
          <w:tblCellSpacing w:w="0" w:type="dxa"/>
        </w:trPr>
        <w:tc>
          <w:tcPr>
            <w:tcW w:w="0" w:type="auto"/>
            <w:vAlign w:val="center"/>
            <w:hideMark/>
          </w:tcPr>
          <w:p w:rsidR="00DE72F6" w:rsidRPr="00DE72F6" w:rsidRDefault="00DE72F6" w:rsidP="00DE72F6">
            <w:pPr>
              <w:spacing w:after="0" w:line="240" w:lineRule="auto"/>
              <w:rPr>
                <w:rFonts w:ascii="Times New Roman" w:eastAsia="Times New Roman" w:hAnsi="Times New Roman" w:cs="Times New Roman"/>
                <w:color w:val="000000"/>
                <w:sz w:val="24"/>
                <w:szCs w:val="24"/>
                <w:lang w:eastAsia="es-CR"/>
              </w:rPr>
            </w:pPr>
            <w:hyperlink r:id="rId7" w:history="1">
              <w:r w:rsidRPr="00DE72F6">
                <w:rPr>
                  <w:rFonts w:ascii="Times New Roman" w:eastAsia="Times New Roman" w:hAnsi="Times New Roman" w:cs="Times New Roman"/>
                  <w:b/>
                  <w:bCs/>
                  <w:color w:val="0000FF"/>
                  <w:sz w:val="24"/>
                  <w:szCs w:val="24"/>
                  <w:u w:val="single"/>
                  <w:lang w:eastAsia="es-CR"/>
                </w:rPr>
                <w:t>gestion.pdf</w:t>
              </w:r>
            </w:hyperlink>
          </w:p>
        </w:tc>
        <w:tc>
          <w:tcPr>
            <w:tcW w:w="0" w:type="auto"/>
            <w:vAlign w:val="center"/>
            <w:hideMark/>
          </w:tcPr>
          <w:p w:rsidR="00DE72F6" w:rsidRPr="00DE72F6" w:rsidRDefault="00DE72F6" w:rsidP="00DE72F6">
            <w:pPr>
              <w:spacing w:before="100" w:beforeAutospacing="1" w:after="100" w:afterAutospacing="1" w:line="240" w:lineRule="auto"/>
              <w:jc w:val="right"/>
              <w:rPr>
                <w:rFonts w:ascii="Times New Roman" w:eastAsia="Times New Roman" w:hAnsi="Times New Roman" w:cs="Times New Roman"/>
                <w:color w:val="000000"/>
                <w:sz w:val="24"/>
                <w:szCs w:val="24"/>
                <w:lang w:eastAsia="es-CR"/>
              </w:rPr>
            </w:pPr>
            <w:r>
              <w:rPr>
                <w:rFonts w:ascii="Times New Roman" w:eastAsia="Times New Roman" w:hAnsi="Times New Roman" w:cs="Times New Roman"/>
                <w:noProof/>
                <w:color w:val="0000FF"/>
                <w:sz w:val="24"/>
                <w:szCs w:val="24"/>
                <w:lang w:eastAsia="es-CR"/>
              </w:rPr>
              <w:drawing>
                <wp:inline distT="0" distB="0" distL="0" distR="0">
                  <wp:extent cx="838200" cy="295275"/>
                  <wp:effectExtent l="19050" t="0" r="0" b="0"/>
                  <wp:docPr id="3" name="Imagen 3" descr="http://www.bvsde.paho.org/comun/grafico/getacro.gif">
                    <a:hlinkClick xmlns:a="http://schemas.openxmlformats.org/drawingml/2006/main" r:id="rId8" tgtFrame="_top"/>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bvsde.paho.org/comun/grafico/getacro.gif">
                            <a:hlinkClick r:id="rId8" tgtFrame="_top"/>
                          </pic:cNvPr>
                          <pic:cNvPicPr>
                            <a:picLocks noChangeAspect="1" noChangeArrowheads="1"/>
                          </pic:cNvPicPr>
                        </pic:nvPicPr>
                        <pic:blipFill>
                          <a:blip r:embed="rId9" cstate="print"/>
                          <a:srcRect/>
                          <a:stretch>
                            <a:fillRect/>
                          </a:stretch>
                        </pic:blipFill>
                        <pic:spPr bwMode="auto">
                          <a:xfrm>
                            <a:off x="0" y="0"/>
                            <a:ext cx="838200" cy="295275"/>
                          </a:xfrm>
                          <a:prstGeom prst="rect">
                            <a:avLst/>
                          </a:prstGeom>
                          <a:noFill/>
                          <a:ln w="9525">
                            <a:noFill/>
                            <a:miter lim="800000"/>
                            <a:headEnd/>
                            <a:tailEnd/>
                          </a:ln>
                        </pic:spPr>
                      </pic:pic>
                    </a:graphicData>
                  </a:graphic>
                </wp:inline>
              </w:drawing>
            </w:r>
          </w:p>
        </w:tc>
      </w:tr>
    </w:tbl>
    <w:p w:rsidR="00DE72F6" w:rsidRPr="00DE72F6" w:rsidRDefault="00DE72F6" w:rsidP="00DE72F6">
      <w:pPr>
        <w:spacing w:after="0" w:line="240" w:lineRule="auto"/>
        <w:rPr>
          <w:rFonts w:ascii="Times New Roman" w:eastAsia="Times New Roman" w:hAnsi="Times New Roman" w:cs="Times New Roman"/>
          <w:b/>
          <w:bCs/>
          <w:color w:val="000000"/>
          <w:sz w:val="24"/>
          <w:szCs w:val="24"/>
          <w:lang w:eastAsia="es-CR"/>
        </w:rPr>
      </w:pPr>
      <w:r w:rsidRPr="00DE72F6">
        <w:rPr>
          <w:rFonts w:ascii="Times New Roman" w:eastAsia="Times New Roman" w:hAnsi="Times New Roman" w:cs="Times New Roman"/>
          <w:b/>
          <w:bCs/>
          <w:color w:val="000000"/>
          <w:sz w:val="24"/>
          <w:szCs w:val="24"/>
          <w:lang w:eastAsia="es-CR"/>
        </w:rPr>
        <w:pict>
          <v:rect id="_x0000_i1025" style="width:0;height:1.5pt" o:hralign="center" o:hrstd="t" o:hr="t" fillcolor="#a0a0a0" stroked="f"/>
        </w:pic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br/>
        <w:t xml:space="preserve">INTRODUCCION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La gestión de los desechos municipales, tanto líquidos como sólidos, sigue siendo un problema importante para los funcionarios urbanos en los países en desarrollo. La gestión de los desechos es una función con uso intensivo de recursos que consume una parte cuantiosa del presupuesto municipal. Por ejemplo, la recolección y transporte de desechos sólidos y su disposición final en muchas ciudades representan del 20% al 40% del presupuesto municipal, y a menudo exigen aportaciones importantes de subvenciones nacionales. En el caso de los desechos líquidos,</w:t>
      </w:r>
      <w:r w:rsidRPr="00DE72F6">
        <w:rPr>
          <w:rFonts w:ascii="Times New Roman" w:eastAsia="Times New Roman" w:hAnsi="Times New Roman" w:cs="Times New Roman"/>
          <w:b/>
          <w:bCs/>
          <w:color w:val="000000"/>
          <w:sz w:val="24"/>
          <w:szCs w:val="24"/>
          <w:lang w:eastAsia="es-CR"/>
        </w:rPr>
        <w:t xml:space="preserve"> </w:t>
      </w:r>
      <w:r w:rsidRPr="00DE72F6">
        <w:rPr>
          <w:rFonts w:ascii="Times New Roman" w:eastAsia="Times New Roman" w:hAnsi="Times New Roman" w:cs="Times New Roman"/>
          <w:color w:val="000000"/>
          <w:sz w:val="24"/>
          <w:szCs w:val="24"/>
          <w:lang w:eastAsia="es-CR"/>
        </w:rPr>
        <w:t>se estima que el costo de las instalaciones para recolectarlos, tratarlos y evacuarlos</w:t>
      </w:r>
      <w:r w:rsidRPr="00DE72F6">
        <w:rPr>
          <w:rFonts w:ascii="Times New Roman" w:eastAsia="Times New Roman" w:hAnsi="Times New Roman" w:cs="Times New Roman"/>
          <w:b/>
          <w:bCs/>
          <w:color w:val="000000"/>
          <w:sz w:val="24"/>
          <w:szCs w:val="24"/>
          <w:lang w:eastAsia="es-CR"/>
        </w:rPr>
        <w:t xml:space="preserve"> </w:t>
      </w:r>
      <w:r w:rsidRPr="00DE72F6">
        <w:rPr>
          <w:rFonts w:ascii="Times New Roman" w:eastAsia="Times New Roman" w:hAnsi="Times New Roman" w:cs="Times New Roman"/>
          <w:color w:val="000000"/>
          <w:sz w:val="24"/>
          <w:szCs w:val="24"/>
          <w:lang w:eastAsia="es-CR"/>
        </w:rPr>
        <w:t xml:space="preserve">representa una inversión casi el doble del costo de los servicios de abastecimiento de agua y en muchos casos dicha inversión en sistemas de aguas residuales aún no se ha hecho.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No obstante los recursos que se dedican a esta actividad, los resultados rara vez son suficientes. En la mayoría de las ciudades del mundo en desarrollo los niveles de recogida de desechos son inadecuados, pues quedan grandes segmentos de la población urbana ya sea completamente sin servicios o con sus necesidades sólo parcialmente satisfechas. El problema todavía consiste en retirar los desechos de en medio. Como de costumbre, las personas más afectadas por esta situación son los pobres que viven en los tugurios urbanos congestionados o en zonas periféricas. En contraste con ello, las zonas de más alto nivel socioeconómico gozan a menudo de un nivel de servicios comparable al de cualquier ciudad importante en los países desarrollados. Es decir, los beneficiarios de estas cuantiosas inversiones son pocos y generalmente los que tienen menos necesidades. Lo ilógico de esta situación es que los intentos por ampliar los servicios de recolección de desechos con costos unitarios tan altos están más allá de la capacidad financiera de las ciudades y de la población que no cuenta con servicios. Se debe hacer una nueva definición de las normas de calidad y cobertura de los servicios si es que han de hallarse soluciones a las que todos tengan acceso económico.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lastRenderedPageBreak/>
        <w:t xml:space="preserve">* Encargado del Proyecto PNUD/Banco Mundial sobre Recuperación y Reciclaje de Desechos (GLO/84/007), Departamento de Abastecimiento de Agua y Desarrollo Urbano, Banco Mundial, 1818 H St. N.W., Washington, D.C., 20433, Estados Unidos. Los puntos de vista e interpretaciones que aparecen en este documento son los de los autores y no representan necesariamente los puntos de vista y las políticas ni del PNUD ni del Banco Mundial.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La disposición inadecuada de los desechos urbanos es otro aspecto de preocupación para las autoridades municipales. La descarga ilícita de desechos sólidos en las calles urbanas, consecuencia de una recolección deficiente, crea las condiciones para la proliferación de portadores de gérmenes y otros posibles problemas de salud pública, causa malos olores y entorpece los sistemas de drenaje urbano, dando como resultado mayores costos de operación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mantenimiento. La falta de instalaciones sanitarias en las casas, especialmente en los barrios de bajos ingresos, tiene como consecuencia la eliminación inadecuada de las excretas, lo que contribuye a la alta frecuencia de enfermedades gastrointestinales observadas en estas zonas. Otros efectos negativos resultan de la deficiente disposición final de los desechos urbanos, a menudo con altos costos externos para la economía nacional. Como ejemplos frecuentes en las zonas metropolitanas se pueden citar la contaminación de los recursos de aguas superficiales debida a la descarga indiscriminada de aguas servidas no tratadas, la contaminación de las aguas subterráneas causada por la filtración del lixiviado no controlado proveniente de vertederos abiertos, y la contaminación del aire resultante de la quema de basura.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Sin embargo, la situación no es irremediable y hay soluciones de bajo costo que podrían permitir a las municipalidades mejorar su capacidad de gestión de los desechos y</w:t>
      </w:r>
      <w:r w:rsidRPr="00DE72F6">
        <w:rPr>
          <w:rFonts w:ascii="Times New Roman" w:eastAsia="Times New Roman" w:hAnsi="Times New Roman" w:cs="Times New Roman"/>
          <w:b/>
          <w:bCs/>
          <w:color w:val="000000"/>
          <w:sz w:val="24"/>
          <w:szCs w:val="24"/>
          <w:lang w:eastAsia="es-CR"/>
        </w:rPr>
        <w:t xml:space="preserve"> </w:t>
      </w:r>
      <w:r w:rsidRPr="00DE72F6">
        <w:rPr>
          <w:rFonts w:ascii="Times New Roman" w:eastAsia="Times New Roman" w:hAnsi="Times New Roman" w:cs="Times New Roman"/>
          <w:color w:val="000000"/>
          <w:sz w:val="24"/>
          <w:szCs w:val="24"/>
          <w:lang w:eastAsia="es-CR"/>
        </w:rPr>
        <w:t xml:space="preserve">hacer un mejor uso de los limitados recursos financieros recuperando el valor inherente en los desechos. Con el objeto de demostrar y divulgar dichas soluciones se ha iniciado el Proyecto Integrado de Recuperación de Recursos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Reciclaje de Desechos del PNUD y el Banco Mundial. En este trabajo se describen algunos de los resultados iniciales del proyecto.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t xml:space="preserve">LA ESTRATEGIA PARA LA RECUPERACION DE LOS RECURSOS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La recuperación de los recursos no es una idea nueva. Tiene sus orígenes en las antiguas sociedades urbanas que reconocieron el valor intrínseco de los desechos humanos. Por ejemplo, en China han funcionado durante siglos los sistemas de recogida de las excretas, las que proporcionan la fuente principal de abono para mantener actividades de agricultura intensiva en las zonas rurales que rodean a las ciudades.</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En el mundo de la actualidad hay muchas más oportunidades de recuperación de los recursos puesto que los desechos contienen materiales más variados, gran cantidad de los cuales tienen considerable valor agregado debido a los procesos de fabricación y de otro tipo. La recuperación de recursos es un reconocimiento de que estos materiales sólo se transforman en basura cuando sus propietarios los desechan o pagan para que los retiren. En la gestión de los desechos es fundamental decidir si se han de eliminar o se ha de aprovechar el valor que aún tienen. Esta decisión debe hacerse en todos los niveles de la sociedad --familiar, municipal e industrial. La meta de la gestión de los desechos debe ser </w:t>
      </w:r>
      <w:r w:rsidRPr="00DE72F6">
        <w:rPr>
          <w:rFonts w:ascii="Times New Roman" w:eastAsia="Times New Roman" w:hAnsi="Times New Roman" w:cs="Times New Roman"/>
          <w:color w:val="000000"/>
          <w:sz w:val="24"/>
          <w:szCs w:val="24"/>
          <w:lang w:eastAsia="es-CR"/>
        </w:rPr>
        <w:lastRenderedPageBreak/>
        <w:t xml:space="preserve">la conservación de los recursos, incluidos el espacio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el ambiente comunitarios que los desechos podrían contaminar, manteniendo a la vez niveles adecuados de servicios.</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La recuperación de los recursos se ha transformado en política oficial en la mayoría de los países desarrollados debido al alto costo de la gestión de los desechos y</w:t>
      </w:r>
      <w:r w:rsidRPr="00DE72F6">
        <w:rPr>
          <w:rFonts w:ascii="Times New Roman" w:eastAsia="Times New Roman" w:hAnsi="Times New Roman" w:cs="Times New Roman"/>
          <w:b/>
          <w:bCs/>
          <w:color w:val="000000"/>
          <w:sz w:val="24"/>
          <w:szCs w:val="24"/>
          <w:lang w:eastAsia="es-CR"/>
        </w:rPr>
        <w:t xml:space="preserve"> </w:t>
      </w:r>
      <w:r w:rsidRPr="00DE72F6">
        <w:rPr>
          <w:rFonts w:ascii="Times New Roman" w:eastAsia="Times New Roman" w:hAnsi="Times New Roman" w:cs="Times New Roman"/>
          <w:color w:val="000000"/>
          <w:sz w:val="24"/>
          <w:szCs w:val="24"/>
          <w:lang w:eastAsia="es-CR"/>
        </w:rPr>
        <w:t xml:space="preserve">a la conveniencia de recuperar todo el valor que estos puedan aún tener. Por ejemplo, en los Estados Unidos la legislación ambiental y las presiones sociales y económicas han dado origen a soluciones como la reclamación y reutilización de las aguas residuales, preparación de abonos orgánicos con fangos cloacales y su aplicación en la tierra, la recuperación de biogás en los rellenos sanitarios, y la quema de desechos sólidos con recuperación de energía.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Se pueden lograr también considerables beneficios socioeconómicos en los países en desarrollo a partir de la recuperación de recursos y reciclaje de desechos. Dichos beneficios comprende la creación de empleos en las actividades de recuperación y reciclaje, los productos comercializables, la disminución de la contaminación ambiental, la reducción de las importaciones, y especialmente las posibilidades de aumentar la productividad agrícola a través de la reutilización de desechos orgánicos en las zonas rurales que rodean a la mayoría de las ciudades en el Tercer Mundo. Además, hay numerosos beneficios financieros, institucionales y políticos que se derivan de una mayor autosuficiencia municipal.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No obstante, hay importantes diferencias en la forma en que se pueden recuperar los recursos en los países en desarrollo en comparación con muchos de los métodos de alta tecnología que se usan en los países desarrollados. Si bien algunas de las diferencias son atribuibles a dicotomías bien conocidas como las técnicas con uso intensivo de mano de obra en oposición a aquellas con uso intensivo de capital, otras se deben a las propias características de los desechos. Para ilustrar esto último, tómese en cuenta que los desechos sólidos municipales en los países en desarrollo tendrán por lo general dos a tres veces más de humedad, densidad y materia putrescible, y un tamaño medio de partículas mucho más pequeño. Esta combinación de características indica que los sistemas de incineración para la recuperación de energía probablemente no son factibles en la mayoría de las ciudades en tanto que, por otra parte, debe facilitar la preparación de abono orgánico mediante un sistema sencillo de </w:t>
      </w:r>
      <w:proofErr w:type="spellStart"/>
      <w:r w:rsidRPr="00DE72F6">
        <w:rPr>
          <w:rFonts w:ascii="Times New Roman" w:eastAsia="Times New Roman" w:hAnsi="Times New Roman" w:cs="Times New Roman"/>
          <w:color w:val="000000"/>
          <w:sz w:val="24"/>
          <w:szCs w:val="24"/>
          <w:lang w:eastAsia="es-CR"/>
        </w:rPr>
        <w:t>compostificación</w:t>
      </w:r>
      <w:proofErr w:type="spellEnd"/>
      <w:r w:rsidRPr="00DE72F6">
        <w:rPr>
          <w:rFonts w:ascii="Times New Roman" w:eastAsia="Times New Roman" w:hAnsi="Times New Roman" w:cs="Times New Roman"/>
          <w:color w:val="000000"/>
          <w:sz w:val="24"/>
          <w:szCs w:val="24"/>
          <w:lang w:eastAsia="es-CR"/>
        </w:rPr>
        <w:t xml:space="preserve">.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Naturalmente, la recuperación de recursos y reciclaje por sí solos no pueden resolver todos los problemas de gestión de los desechos a que se ven enfrentadas las municipalidades. Otros problemas en este campo que requieren urgente atención incluyen el fortalecimiento institucional para mejorar la planificación y la gestión, la creación y puesta en práctica de mecanismos de planificación financiera y recuperación de costos y la determinación de normas aceptables de entrega de servicios y selección de una tecnología adecuada para alcanzar esos niveles. Sin embargo, esta estrategia señalará a las municipalidades el camino a seguir para resolver sus propios problemas.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t xml:space="preserve">EL PROYECTO DEL PNUD Y EL BANCO MUNDIAL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Teniendo en cuenta las consideraciones antes mencionadas, el Banco Mundial lleva a cabo un proyecto patrocinado por el PNUD sobre la recuperación de recursos y reciclaje de </w:t>
      </w:r>
      <w:r w:rsidRPr="00DE72F6">
        <w:rPr>
          <w:rFonts w:ascii="Times New Roman" w:eastAsia="Times New Roman" w:hAnsi="Times New Roman" w:cs="Times New Roman"/>
          <w:color w:val="000000"/>
          <w:sz w:val="24"/>
          <w:szCs w:val="24"/>
          <w:lang w:eastAsia="es-CR"/>
        </w:rPr>
        <w:lastRenderedPageBreak/>
        <w:t xml:space="preserve">desechos (GLO/84/007). El objetivo de este proyecto es evaluar, documentar y demostrar técnicas de bajo costo para la recuperación y reciclaje de los desechos municipales con el fin de mejorar las prácticas generales de gestión de los desechos y generar recursos financieros para las actividades de recogida y eliminación. De este modo, el proyecto contribuye también directamente al logro de la autosuficiencia municipal y a las metas del Decenio Internacional del Agua Potable y del Saneamiento Ambiental. Participan en el proyecto, mediante acuerdos de cofinanciamiento, organismos bilaterales de Alemania, Canadá, Francia, Italia, Reino Unido y Suiza. Dieciséis países en desarrollo participan también en estudios de casos y proyectos de demostración.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Durante la fase inicial del proyecto se han preparado estudios sobre prácticas de recuperación de recursos, gestión y reciclaje de los desechos en las zonas metropolitanas y las posibilidades económicas de la recuperación de recursos. Las materias más importantes abarcadas fueron a) los aspectos sanitarios del riego con afluentes; b) el desarrollo de la acuicultura con utilización de aguas residuales; c) la preparación de abonos orgánicos con basura, fango y excretas; d) las plantas comunitarias de biogás en gran escala; y e) el reciclaje de los desechos sólidos.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Durante los próximos cinco años el proyecto se ocupará de la factibilidad técnica, económica, social e institucional de la gestión de los desechos en las grandes zonas metropolitanas, con la incorporación de actividades de recuperación y reciclaje. Se emprenderán proyectos de demostración, junto con actividades intensivas de divulgación. Al terminarse los estudios de casos y proyectos de demostración, la atención se centrará en la formulación y apoyo de programas de inversión en gran escala.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Se ha publicado una serie de informes técnicos sobre el estado de la tecnología de recuperación y reciclaje de residuos. En el Anexo I se da un listado de los títulos disponibles los cuales pueden ser solicitados del Banco Mundial.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En la sección siguiente se dan varios ejemplos que ilustran la forma en que puede alcanzarse un mayor grado de autosuficiencia municipal en la gestión de los desechos mediante la recuperación de los recursos y el reciclaje de los desechos.</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t xml:space="preserve">RIEGO CON EFLUENTES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La reutilizaci6n en gran escala de las aguas servidas domésticas para el regadío es muy común en muchas regiones áridas y semiáridas del mundo, como resultado de las crecientes presiones de la población, escasez de agua y demanda agrícola. Se informa que 1,3 millones de hectáreas se riegan con aguas residuales municipales en China. Los siguientes datos adicionales muestran cuan generalizada es la práctica de riego con afluentes tanto en los países en desarrollo como en los desarrollados: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u w:val="single"/>
          <w:lang w:eastAsia="es-CR"/>
        </w:rPr>
        <w:t>Países y ciudades</w:t>
      </w:r>
      <w:r w:rsidRPr="00DE72F6">
        <w:rPr>
          <w:rFonts w:ascii="Times New Roman" w:eastAsia="Times New Roman" w:hAnsi="Times New Roman" w:cs="Times New Roman"/>
          <w:color w:val="000000"/>
          <w:sz w:val="24"/>
          <w:szCs w:val="24"/>
          <w:lang w:eastAsia="es-CR"/>
        </w:rPr>
        <w:t xml:space="preserve"> </w:t>
      </w:r>
      <w:r w:rsidRPr="00DE72F6">
        <w:rPr>
          <w:rFonts w:ascii="Times New Roman" w:eastAsia="Times New Roman" w:hAnsi="Times New Roman" w:cs="Times New Roman"/>
          <w:color w:val="000000"/>
          <w:sz w:val="24"/>
          <w:szCs w:val="24"/>
          <w:u w:val="single"/>
          <w:lang w:eastAsia="es-CR"/>
        </w:rPr>
        <w:t xml:space="preserve">Superficie regada (ha)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Alemania, Brunswick 2.800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proofErr w:type="gramStart"/>
      <w:r w:rsidRPr="00DE72F6">
        <w:rPr>
          <w:rFonts w:ascii="Times New Roman" w:eastAsia="Times New Roman" w:hAnsi="Times New Roman" w:cs="Times New Roman"/>
          <w:color w:val="000000"/>
          <w:sz w:val="24"/>
          <w:szCs w:val="24"/>
          <w:lang w:eastAsia="es-CR"/>
        </w:rPr>
        <w:lastRenderedPageBreak/>
        <w:t>otras</w:t>
      </w:r>
      <w:proofErr w:type="gramEnd"/>
      <w:r w:rsidRPr="00DE72F6">
        <w:rPr>
          <w:rFonts w:ascii="Times New Roman" w:eastAsia="Times New Roman" w:hAnsi="Times New Roman" w:cs="Times New Roman"/>
          <w:color w:val="000000"/>
          <w:sz w:val="24"/>
          <w:szCs w:val="24"/>
          <w:lang w:eastAsia="es-CR"/>
        </w:rPr>
        <w:t xml:space="preserve"> ciudades 25.000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Argentina, Mendoza 5.700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Australia, Melbourne 10.000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Chile, Santiago 16.000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China, varias ciudades 1'300.000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Estados Unidos, Chandler, Arizona 2.800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Lubbock, Texas 3.000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Muskegon, Michigan 2.200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India, Calcuta 12.500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Israel, varias ciudades 10.000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Kuwait, varias ciudades 9.000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México, Ciudad de México 90.000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proofErr w:type="gramStart"/>
      <w:r w:rsidRPr="00DE72F6">
        <w:rPr>
          <w:rFonts w:ascii="Times New Roman" w:eastAsia="Times New Roman" w:hAnsi="Times New Roman" w:cs="Times New Roman"/>
          <w:color w:val="000000"/>
          <w:sz w:val="24"/>
          <w:szCs w:val="24"/>
          <w:lang w:eastAsia="es-CR"/>
        </w:rPr>
        <w:t>otras</w:t>
      </w:r>
      <w:proofErr w:type="gramEnd"/>
      <w:r w:rsidRPr="00DE72F6">
        <w:rPr>
          <w:rFonts w:ascii="Times New Roman" w:eastAsia="Times New Roman" w:hAnsi="Times New Roman" w:cs="Times New Roman"/>
          <w:color w:val="000000"/>
          <w:sz w:val="24"/>
          <w:szCs w:val="24"/>
          <w:lang w:eastAsia="es-CR"/>
        </w:rPr>
        <w:t xml:space="preserve"> ciudades 61.000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Perú, Lima 6.800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Sudán, </w:t>
      </w:r>
      <w:proofErr w:type="spellStart"/>
      <w:r w:rsidRPr="00DE72F6">
        <w:rPr>
          <w:rFonts w:ascii="Times New Roman" w:eastAsia="Times New Roman" w:hAnsi="Times New Roman" w:cs="Times New Roman"/>
          <w:color w:val="000000"/>
          <w:sz w:val="24"/>
          <w:szCs w:val="24"/>
          <w:lang w:eastAsia="es-CR"/>
        </w:rPr>
        <w:t>Khartum</w:t>
      </w:r>
      <w:proofErr w:type="spellEnd"/>
      <w:r w:rsidRPr="00DE72F6">
        <w:rPr>
          <w:rFonts w:ascii="Times New Roman" w:eastAsia="Times New Roman" w:hAnsi="Times New Roman" w:cs="Times New Roman"/>
          <w:color w:val="000000"/>
          <w:sz w:val="24"/>
          <w:szCs w:val="24"/>
          <w:lang w:eastAsia="es-CR"/>
        </w:rPr>
        <w:t xml:space="preserve"> 2.800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Túnez, varias ciudades 2.600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Sin embargo, hay una diferencia decisiva en la forma en que ocurre esta reutilización. En los países desarrollados, la reutilización se planea y se ponen en práctica estrictas normas de calidad y exigencias de tratamiento del agua, además de restricciones a los cultivos. En los países en desarrollo, salvo unas cuantas excepciones, la reutilizaci6n ocurre indiscriminadamente, sin ninguna de las salvaguardas mencionadas. En vista de esto, el Proyecto del PNUD y el Banco Mundial ha centrado su atención en los aspectos de salud pública de la reutilización de las aguas residuales para la agricultura y las medidas de control sanitario necesarias para la protección de la salud pública.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Se llevó a cabo un amplio examen de los datos epidemiológicos disponibles y a partir de los resultados se formula un modelo de riesgo para evaluar las opciones de control sanitario en materia de riego con afluentes. El modelo epidemiológico señala que el riesgo más alto de transmisión de patógenos, infección y enfermedad se asocia con los helmintos, seguidos en orden de importancia por las infecciones </w:t>
      </w:r>
      <w:proofErr w:type="spellStart"/>
      <w:r w:rsidRPr="00DE72F6">
        <w:rPr>
          <w:rFonts w:ascii="Times New Roman" w:eastAsia="Times New Roman" w:hAnsi="Times New Roman" w:cs="Times New Roman"/>
          <w:color w:val="000000"/>
          <w:sz w:val="24"/>
          <w:szCs w:val="24"/>
          <w:lang w:eastAsia="es-CR"/>
        </w:rPr>
        <w:t>bacteriales</w:t>
      </w:r>
      <w:proofErr w:type="spellEnd"/>
      <w:r w:rsidRPr="00DE72F6">
        <w:rPr>
          <w:rFonts w:ascii="Times New Roman" w:eastAsia="Times New Roman" w:hAnsi="Times New Roman" w:cs="Times New Roman"/>
          <w:color w:val="000000"/>
          <w:sz w:val="24"/>
          <w:szCs w:val="24"/>
          <w:lang w:eastAsia="es-CR"/>
        </w:rPr>
        <w:t xml:space="preserve"> y las infecciones de virus. Si</w:t>
      </w:r>
      <w:r w:rsidRPr="00DE72F6">
        <w:rPr>
          <w:rFonts w:ascii="Times New Roman" w:eastAsia="Times New Roman" w:hAnsi="Times New Roman" w:cs="Times New Roman"/>
          <w:i/>
          <w:iCs/>
          <w:color w:val="000000"/>
          <w:sz w:val="24"/>
          <w:szCs w:val="24"/>
          <w:lang w:eastAsia="es-CR"/>
        </w:rPr>
        <w:t xml:space="preserve"> </w:t>
      </w:r>
      <w:r w:rsidRPr="00DE72F6">
        <w:rPr>
          <w:rFonts w:ascii="Times New Roman" w:eastAsia="Times New Roman" w:hAnsi="Times New Roman" w:cs="Times New Roman"/>
          <w:color w:val="000000"/>
          <w:sz w:val="24"/>
          <w:szCs w:val="24"/>
          <w:lang w:eastAsia="es-CR"/>
        </w:rPr>
        <w:t xml:space="preserve">bien </w:t>
      </w:r>
      <w:r w:rsidRPr="00DE72F6">
        <w:rPr>
          <w:rFonts w:ascii="Times New Roman" w:eastAsia="Times New Roman" w:hAnsi="Times New Roman" w:cs="Times New Roman"/>
          <w:color w:val="000000"/>
          <w:sz w:val="24"/>
          <w:szCs w:val="24"/>
          <w:lang w:eastAsia="es-CR"/>
        </w:rPr>
        <w:lastRenderedPageBreak/>
        <w:t xml:space="preserve">ciertos riesgos para la salud están claramente asociados con el uso de aguas residuales </w:t>
      </w:r>
      <w:r w:rsidRPr="00DE72F6">
        <w:rPr>
          <w:rFonts w:ascii="Times New Roman" w:eastAsia="Times New Roman" w:hAnsi="Times New Roman" w:cs="Times New Roman"/>
          <w:color w:val="000000"/>
          <w:sz w:val="24"/>
          <w:szCs w:val="24"/>
          <w:u w:val="single"/>
          <w:lang w:eastAsia="es-CR"/>
        </w:rPr>
        <w:t xml:space="preserve">sin tratamiento </w:t>
      </w:r>
      <w:r w:rsidRPr="00DE72F6">
        <w:rPr>
          <w:rFonts w:ascii="Times New Roman" w:eastAsia="Times New Roman" w:hAnsi="Times New Roman" w:cs="Times New Roman"/>
          <w:color w:val="000000"/>
          <w:sz w:val="24"/>
          <w:szCs w:val="24"/>
          <w:lang w:eastAsia="es-CR"/>
        </w:rPr>
        <w:t>los datos epidemiológicos compilados en el estudio indican que las estrictísimas normas de riego con aguas residuales elaboradas en muchos de los países industrializados son exageradamente restrictivas.</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El estudio del PNUD y el Banco Mundial sugiere una pauta para el riego sin restricción con aguas residuales basada en un efluente con menos de un huevo de </w:t>
      </w:r>
      <w:proofErr w:type="spellStart"/>
      <w:r w:rsidRPr="00DE72F6">
        <w:rPr>
          <w:rFonts w:ascii="Times New Roman" w:eastAsia="Times New Roman" w:hAnsi="Times New Roman" w:cs="Times New Roman"/>
          <w:color w:val="000000"/>
          <w:sz w:val="24"/>
          <w:szCs w:val="24"/>
          <w:lang w:eastAsia="es-CR"/>
        </w:rPr>
        <w:t>nemátodo</w:t>
      </w:r>
      <w:proofErr w:type="spellEnd"/>
      <w:r w:rsidRPr="00DE72F6">
        <w:rPr>
          <w:rFonts w:ascii="Times New Roman" w:eastAsia="Times New Roman" w:hAnsi="Times New Roman" w:cs="Times New Roman"/>
          <w:color w:val="000000"/>
          <w:sz w:val="24"/>
          <w:szCs w:val="24"/>
          <w:lang w:eastAsia="es-CR"/>
        </w:rPr>
        <w:t xml:space="preserve"> (</w:t>
      </w:r>
      <w:proofErr w:type="spellStart"/>
      <w:r w:rsidRPr="00DE72F6">
        <w:rPr>
          <w:rFonts w:ascii="Times New Roman" w:eastAsia="Times New Roman" w:hAnsi="Times New Roman" w:cs="Times New Roman"/>
          <w:color w:val="000000"/>
          <w:sz w:val="24"/>
          <w:szCs w:val="24"/>
          <w:u w:val="single"/>
          <w:lang w:eastAsia="es-CR"/>
        </w:rPr>
        <w:t>ascaris</w:t>
      </w:r>
      <w:proofErr w:type="spellEnd"/>
      <w:r w:rsidRPr="00DE72F6">
        <w:rPr>
          <w:rFonts w:ascii="Times New Roman" w:eastAsia="Times New Roman" w:hAnsi="Times New Roman" w:cs="Times New Roman"/>
          <w:color w:val="000000"/>
          <w:sz w:val="24"/>
          <w:szCs w:val="24"/>
          <w:lang w:eastAsia="es-CR"/>
        </w:rPr>
        <w:t xml:space="preserve"> o </w:t>
      </w:r>
      <w:proofErr w:type="spellStart"/>
      <w:r w:rsidRPr="00DE72F6">
        <w:rPr>
          <w:rFonts w:ascii="Times New Roman" w:eastAsia="Times New Roman" w:hAnsi="Times New Roman" w:cs="Times New Roman"/>
          <w:color w:val="000000"/>
          <w:sz w:val="24"/>
          <w:szCs w:val="24"/>
          <w:u w:val="single"/>
          <w:lang w:eastAsia="es-CR"/>
        </w:rPr>
        <w:t>trichuris</w:t>
      </w:r>
      <w:proofErr w:type="spellEnd"/>
      <w:r w:rsidRPr="00DE72F6">
        <w:rPr>
          <w:rFonts w:ascii="Times New Roman" w:eastAsia="Times New Roman" w:hAnsi="Times New Roman" w:cs="Times New Roman"/>
          <w:color w:val="000000"/>
          <w:sz w:val="24"/>
          <w:szCs w:val="24"/>
          <w:lang w:eastAsia="es-CR"/>
        </w:rPr>
        <w:t xml:space="preserve">) por litro en promedio y una media geométrica de concentración de bacilos </w:t>
      </w:r>
      <w:proofErr w:type="spellStart"/>
      <w:r w:rsidRPr="00DE72F6">
        <w:rPr>
          <w:rFonts w:ascii="Times New Roman" w:eastAsia="Times New Roman" w:hAnsi="Times New Roman" w:cs="Times New Roman"/>
          <w:color w:val="000000"/>
          <w:sz w:val="24"/>
          <w:szCs w:val="24"/>
          <w:lang w:eastAsia="es-CR"/>
        </w:rPr>
        <w:t>coliformes</w:t>
      </w:r>
      <w:proofErr w:type="spellEnd"/>
      <w:r w:rsidRPr="00DE72F6">
        <w:rPr>
          <w:rFonts w:ascii="Times New Roman" w:eastAsia="Times New Roman" w:hAnsi="Times New Roman" w:cs="Times New Roman"/>
          <w:color w:val="000000"/>
          <w:sz w:val="24"/>
          <w:szCs w:val="24"/>
          <w:lang w:eastAsia="es-CR"/>
        </w:rPr>
        <w:t xml:space="preserve"> fecales de 1.000 por 100 ml. Esta pauta fue respaldada por un grupo de expertos en una reunión convocada en </w:t>
      </w:r>
      <w:proofErr w:type="spellStart"/>
      <w:r w:rsidRPr="00DE72F6">
        <w:rPr>
          <w:rFonts w:ascii="Times New Roman" w:eastAsia="Times New Roman" w:hAnsi="Times New Roman" w:cs="Times New Roman"/>
          <w:color w:val="000000"/>
          <w:sz w:val="24"/>
          <w:szCs w:val="24"/>
          <w:lang w:eastAsia="es-CR"/>
        </w:rPr>
        <w:t>Engelberg</w:t>
      </w:r>
      <w:proofErr w:type="spellEnd"/>
      <w:r w:rsidRPr="00DE72F6">
        <w:rPr>
          <w:rFonts w:ascii="Times New Roman" w:eastAsia="Times New Roman" w:hAnsi="Times New Roman" w:cs="Times New Roman"/>
          <w:color w:val="000000"/>
          <w:sz w:val="24"/>
          <w:szCs w:val="24"/>
          <w:lang w:eastAsia="es-CR"/>
        </w:rPr>
        <w:t xml:space="preserve">, Suiza, en junio de 1985 por el Banco Mundial, el PNUD, la OMS, el PNUMA y el Centro Internacional de Referencia para la Eliminación de Desechos.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Se evaluaron también las opciones tecnológicas y en materia de políticas para reducir y controlar los riesgos para la salud de la reutilización de las aguas residuales en la agricultura. Se determinó que las lagunas multicelulares de estabilización con al menos 20 días de tiempo de detención eliminan eficazmente los patógenos en un sistema de bajo costo, sólido y de fácil manejo que es especialmente adecuado para los países en desarrollo. Tomados en conjunto, el tratamiento adecuado de las aguas residuales, las técnicas de riego controlado y las prácticas de restricción de los cultivos constituyen medidas correctivas eficaces.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Los resultados del proyecto del PNUD y el Banco Mundial proporcionan una base racional para la creación de un enfoque económico apropiado para el riego con aguas residuales en los países en desarrollo. Dicho enfoque ayuda a conservar los recursos de agua y de nutrientes esenciales para los cultivos, promueve el desarrollo de la agricultura y contribuye al control de la contaminación. Aún más, permite establecer un mejor equilibrio ecológico entre la ciudad y su contorno rural, con empleos rurales, oportunidades de asentamiento y producción de alimentos a la mano.</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Aunque corresponde a la municipalidad recolectar, tratar y evacuar las aguas servidas urbanas, los agricultores locales están generalmente dispuestos a pagar para los afluentes que usan para riego. Esto puede ser en forma de pagos directos a la entidad de alcantarillados o la autoridad de gestión de los recursos de agua para la agricultura o en forma de una buena disposición a invertir en las obras de tratamiento que son un requisito para obtener permisos de reutilización. Las experiencias realizadas en el Perú indican además que los agricultores locales a menudo están dispuestos a realizar tareas de mantenimiento asociadas con el tratamiento de las aguas y las obras para el aprovechamiento de las mismas, como contribución en especie.</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t xml:space="preserve">ACUACULTURA CON UTILIZACION DE DESECHOS HUMANOS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La acuacultura en estanques fertilizados con desechos humanos es una práctica antigua, especialmente en Asia. La forma más común de acuacultura de este tipo es simplemente agregar los desechos humanos a los estanques de peces, a veces como excretas o como fango de pozos sépticos. Está es una práctica común hoy en día en Bangladesh, China, Indonesia, Malasia, Tailandia y </w:t>
      </w:r>
      <w:proofErr w:type="spellStart"/>
      <w:r w:rsidRPr="00DE72F6">
        <w:rPr>
          <w:rFonts w:ascii="Times New Roman" w:eastAsia="Times New Roman" w:hAnsi="Times New Roman" w:cs="Times New Roman"/>
          <w:color w:val="000000"/>
          <w:sz w:val="24"/>
          <w:szCs w:val="24"/>
          <w:lang w:eastAsia="es-CR"/>
        </w:rPr>
        <w:t>Viet</w:t>
      </w:r>
      <w:proofErr w:type="spellEnd"/>
      <w:r w:rsidRPr="00DE72F6">
        <w:rPr>
          <w:rFonts w:ascii="Times New Roman" w:eastAsia="Times New Roman" w:hAnsi="Times New Roman" w:cs="Times New Roman"/>
          <w:color w:val="000000"/>
          <w:sz w:val="24"/>
          <w:szCs w:val="24"/>
          <w:lang w:eastAsia="es-CR"/>
        </w:rPr>
        <w:t xml:space="preserve"> </w:t>
      </w:r>
      <w:proofErr w:type="spellStart"/>
      <w:r w:rsidRPr="00DE72F6">
        <w:rPr>
          <w:rFonts w:ascii="Times New Roman" w:eastAsia="Times New Roman" w:hAnsi="Times New Roman" w:cs="Times New Roman"/>
          <w:color w:val="000000"/>
          <w:sz w:val="24"/>
          <w:szCs w:val="24"/>
          <w:lang w:eastAsia="es-CR"/>
        </w:rPr>
        <w:t>Nam</w:t>
      </w:r>
      <w:proofErr w:type="spellEnd"/>
      <w:r w:rsidRPr="00DE72F6">
        <w:rPr>
          <w:rFonts w:ascii="Times New Roman" w:eastAsia="Times New Roman" w:hAnsi="Times New Roman" w:cs="Times New Roman"/>
          <w:color w:val="000000"/>
          <w:sz w:val="24"/>
          <w:szCs w:val="24"/>
          <w:lang w:eastAsia="es-CR"/>
        </w:rPr>
        <w:t xml:space="preserve">. Con la instalación de alcantarillado moderno en </w:t>
      </w:r>
      <w:r w:rsidRPr="00DE72F6">
        <w:rPr>
          <w:rFonts w:ascii="Times New Roman" w:eastAsia="Times New Roman" w:hAnsi="Times New Roman" w:cs="Times New Roman"/>
          <w:color w:val="000000"/>
          <w:sz w:val="24"/>
          <w:szCs w:val="24"/>
          <w:lang w:eastAsia="es-CR"/>
        </w:rPr>
        <w:lastRenderedPageBreak/>
        <w:t xml:space="preserve">muchas ciudades durante el siglo XIX, se desarrollaron sistemas de piscicultura con aguas residuales. La reutilización de estas aguas residuales práctica actualmente en India, China, Alemania, Hungría e Israel y actualmente se </w:t>
      </w:r>
      <w:proofErr w:type="gramStart"/>
      <w:r w:rsidRPr="00DE72F6">
        <w:rPr>
          <w:rFonts w:ascii="Times New Roman" w:eastAsia="Times New Roman" w:hAnsi="Times New Roman" w:cs="Times New Roman"/>
          <w:color w:val="000000"/>
          <w:sz w:val="24"/>
          <w:szCs w:val="24"/>
          <w:lang w:eastAsia="es-CR"/>
        </w:rPr>
        <w:t>llevan</w:t>
      </w:r>
      <w:proofErr w:type="gramEnd"/>
      <w:r w:rsidRPr="00DE72F6">
        <w:rPr>
          <w:rFonts w:ascii="Times New Roman" w:eastAsia="Times New Roman" w:hAnsi="Times New Roman" w:cs="Times New Roman"/>
          <w:color w:val="000000"/>
          <w:sz w:val="24"/>
          <w:szCs w:val="24"/>
          <w:lang w:eastAsia="es-CR"/>
        </w:rPr>
        <w:t xml:space="preserve"> a cabo en India, Perú y Estados Unidos investigaciones sobre este tipo de piscicultura.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Se pueden obtener, rendimientos piscícolas de 5 a 6 toneladas por hectárea al año en sistemas tropicales que utilizan desechos humanos, en que los únicos otros insumos son la tierra, la mano de obra y el sol, constituyen una importante fuente de proteína animal. El sistema más grande conocido está en Calcuta, India, donde unas 2,500 hectáreas de lagunas producen cerca de 20 toneladas diarias de carpas y tilapias. Esto representa el 10% del consumo metropolitano diario de pescado, que es la fuente principal de proteínas de la mayor parte de la población urbana. El pescado en los mercados de Calcuta alcanza hasta US$2 a US$3 por kilogramo.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Con el apoyo del Proyecto del PNUD y el Banco Mundial y de la Sociedad Alemana de Cooperación Técnica (GTZ) se han llevada a cabo experimentos en el Perú para determinar la factibilidad de la producción de peces en las lagunas de acabado en sistemas de lagunas multicelulares de estabilización de aguas residuales. Además de estudiarse el crecimiento y productividad de los peces, se centra la atención en los aspectos de salud pública de la piscicultura con aguas residuales. Se determinó que los peces crecían bien en lagunas de acabado, con tasas de producción de 1.700 kilogramos por hectárea al año, y que la calidad sanitaria de los peces era excelente. Si hay resistencia social a consumir pescado alimentado con desechos, se puede prolongar la cadena alimentaría con peces criados para usarlos coma alimento de animales más bien que para el consumo humano directo.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Además de la piscicultura, otras formas de acuacultura con aguas residuales que ofrecen interés incluyen la producción de plantas acuáticas. Se pueden cosechar las lentejas de agua </w:t>
      </w:r>
      <w:r w:rsidRPr="00DE72F6">
        <w:rPr>
          <w:rFonts w:ascii="Times New Roman" w:eastAsia="Times New Roman" w:hAnsi="Times New Roman" w:cs="Times New Roman"/>
          <w:color w:val="000000"/>
          <w:sz w:val="24"/>
          <w:szCs w:val="24"/>
          <w:u w:val="single"/>
          <w:lang w:eastAsia="es-CR"/>
        </w:rPr>
        <w:t>(lemnia</w:t>
      </w:r>
      <w:r w:rsidRPr="00DE72F6">
        <w:rPr>
          <w:rFonts w:ascii="Times New Roman" w:eastAsia="Times New Roman" w:hAnsi="Times New Roman" w:cs="Times New Roman"/>
          <w:color w:val="000000"/>
          <w:sz w:val="24"/>
          <w:szCs w:val="24"/>
          <w:lang w:eastAsia="es-CR"/>
        </w:rPr>
        <w:t xml:space="preserve">), secarlas y darlas coma alimento a las aves de corral. El </w:t>
      </w:r>
      <w:proofErr w:type="spellStart"/>
      <w:r w:rsidRPr="00DE72F6">
        <w:rPr>
          <w:rFonts w:ascii="Times New Roman" w:eastAsia="Times New Roman" w:hAnsi="Times New Roman" w:cs="Times New Roman"/>
          <w:color w:val="000000"/>
          <w:sz w:val="24"/>
          <w:szCs w:val="24"/>
          <w:lang w:eastAsia="es-CR"/>
        </w:rPr>
        <w:t>jacinto</w:t>
      </w:r>
      <w:proofErr w:type="spellEnd"/>
      <w:r w:rsidRPr="00DE72F6">
        <w:rPr>
          <w:rFonts w:ascii="Times New Roman" w:eastAsia="Times New Roman" w:hAnsi="Times New Roman" w:cs="Times New Roman"/>
          <w:color w:val="000000"/>
          <w:sz w:val="24"/>
          <w:szCs w:val="24"/>
          <w:lang w:eastAsia="es-CR"/>
        </w:rPr>
        <w:t xml:space="preserve"> de agua (</w:t>
      </w:r>
      <w:proofErr w:type="spellStart"/>
      <w:r w:rsidRPr="00DE72F6">
        <w:rPr>
          <w:rFonts w:ascii="Times New Roman" w:eastAsia="Times New Roman" w:hAnsi="Times New Roman" w:cs="Times New Roman"/>
          <w:color w:val="000000"/>
          <w:sz w:val="24"/>
          <w:szCs w:val="24"/>
          <w:u w:val="single"/>
          <w:lang w:eastAsia="es-CR"/>
        </w:rPr>
        <w:t>eichornia</w:t>
      </w:r>
      <w:proofErr w:type="spellEnd"/>
      <w:r w:rsidRPr="00DE72F6">
        <w:rPr>
          <w:rFonts w:ascii="Times New Roman" w:eastAsia="Times New Roman" w:hAnsi="Times New Roman" w:cs="Times New Roman"/>
          <w:color w:val="000000"/>
          <w:sz w:val="24"/>
          <w:szCs w:val="24"/>
          <w:lang w:eastAsia="es-CR"/>
        </w:rPr>
        <w:t xml:space="preserve">) puede someterse a la digestión anaerobia junto con el fango de aguas residuales para producir biogás. Sin embargo, la factibilidad económica de estos planos requiere un estudio minucioso.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t xml:space="preserve">PREPARACION DEL ABONO ORGANICO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El abono orgánico constituye un insumo agrícola valioso en muchas situaciones, como </w:t>
      </w:r>
      <w:proofErr w:type="spellStart"/>
      <w:r w:rsidRPr="00DE72F6">
        <w:rPr>
          <w:rFonts w:ascii="Times New Roman" w:eastAsia="Times New Roman" w:hAnsi="Times New Roman" w:cs="Times New Roman"/>
          <w:color w:val="000000"/>
          <w:sz w:val="24"/>
          <w:szCs w:val="24"/>
          <w:lang w:eastAsia="es-CR"/>
        </w:rPr>
        <w:t>condicionador</w:t>
      </w:r>
      <w:proofErr w:type="spellEnd"/>
      <w:r w:rsidRPr="00DE72F6">
        <w:rPr>
          <w:rFonts w:ascii="Times New Roman" w:eastAsia="Times New Roman" w:hAnsi="Times New Roman" w:cs="Times New Roman"/>
          <w:color w:val="000000"/>
          <w:sz w:val="24"/>
          <w:szCs w:val="24"/>
          <w:lang w:eastAsia="es-CR"/>
        </w:rPr>
        <w:t xml:space="preserve"> del suelo y como fertilizante de acción retardada. Mejora la textura y la capacidad de retención de humedad de los suelos porosos; la experiencia ha demostrado que con una aplicación correcta de abono orgánico pueden mejorarse los rendimientos agrícolas.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La producción de abono orgánico a partir de digestión aerobia de la basura urbana es común en Europa, especialmente en Francia y Alemania. En los Estados Unidos a menudo se prepara como abono el fango de aguas residuales. Para obtener máximos beneficios, se recomienda la preparación abono orgánico con basura y con fango de aguas residuales a excretas puesto que la adición de fango mejora la relación de carbón a nitrógeno la que da como resultado un abono de mayor valor. La mayoría de los organismos patógenos quedan </w:t>
      </w:r>
      <w:r w:rsidRPr="00DE72F6">
        <w:rPr>
          <w:rFonts w:ascii="Times New Roman" w:eastAsia="Times New Roman" w:hAnsi="Times New Roman" w:cs="Times New Roman"/>
          <w:color w:val="000000"/>
          <w:sz w:val="24"/>
          <w:szCs w:val="24"/>
          <w:lang w:eastAsia="es-CR"/>
        </w:rPr>
        <w:lastRenderedPageBreak/>
        <w:t xml:space="preserve">controlados por el proceso de preparación, pero debe tenerse cuidado al usar el fango municipal ya que puede contener metales pesados.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Para los países en desarrollo se recomiendan los procesos sencillos de preparación de abonos en lugar de los sistemas de alta mecanización comunes en Europa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los Estados Unidos. Los sistemas de hileras o de pilas estáticas son generalmente adecuados, con un mínimo de tratamiento inicial. Esto se debe al contenido más alto de elementos orgánicos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humedad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al menor tamaño de las partículas de los desechos sólidos en las ciudades del Tercer Mundo, y con frecuencia a la ventaja de una temperatura ambiental más alta en los trópicos. La separación manual de vidrio, metal y plásticos puede ser la única preparación necesaria.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Cuando se planifica un proyecto de preparación de abonos, quizás la consideración más importante sea verificar que haya un mercado activo para el producto dentro de un radio de no más de 50 a 100 kilómetros, ya sea uno existente u otro que pueda crearse con un mínimo de inversiones. De otro modo es posible que el proyecto sea un fracaso económico. Debido a que esto es un requisito fundamental para un proyecto bien logrado, el Proyecto del PNUD y el Banco Mundial ha preparado un modelo económico y financiero para el análisis de los proyectos de preparación de abono orgánico. Está a disposición de los planeadores e ingenieros municipales que lo soliciten.</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Egipto ofrece un ejemplo de reciclaje de desechos a través de la preparación de abono orgánico en condiciones adecuadas. El Gobierno ha establecido una política de ampliar los confines agrícolas haciendo cultivables las tierras áridas situadas a lo largo del borde del valle del Nilo. De modo que existe un mercado activo para el abono orgánico en el mejoramiento de los áridos suelos arenosos del desierto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en la substitución de los costosos fertilizantes importados. Con la ayuda del Banco Mundial las gobernaciones de El Cairo y Alejandría construyeron dos plantas piloto de diseño tecnológico intermedio para la preparación de abono orgánico, cada una con una capacidad de 10 toneladas por hora. Los buenos resultados logrados por las plantas piloto han llevado a la formulación de un proyecto de préstamo del Banco para construir cinco nuevas plantas de preparación de abono orgánico en Alejandría </w:t>
      </w:r>
      <w:r w:rsidRPr="00DE72F6">
        <w:rPr>
          <w:rFonts w:ascii="Times New Roman" w:eastAsia="Times New Roman" w:hAnsi="Times New Roman" w:cs="Times New Roman"/>
          <w:b/>
          <w:bCs/>
          <w:color w:val="000000"/>
          <w:sz w:val="24"/>
          <w:szCs w:val="24"/>
          <w:lang w:eastAsia="es-CR"/>
        </w:rPr>
        <w:t xml:space="preserve">y </w:t>
      </w:r>
      <w:proofErr w:type="spellStart"/>
      <w:r w:rsidRPr="00DE72F6">
        <w:rPr>
          <w:rFonts w:ascii="Times New Roman" w:eastAsia="Times New Roman" w:hAnsi="Times New Roman" w:cs="Times New Roman"/>
          <w:color w:val="000000"/>
          <w:sz w:val="24"/>
          <w:szCs w:val="24"/>
          <w:lang w:eastAsia="es-CR"/>
        </w:rPr>
        <w:t>Giza</w:t>
      </w:r>
      <w:proofErr w:type="spellEnd"/>
      <w:r w:rsidRPr="00DE72F6">
        <w:rPr>
          <w:rFonts w:ascii="Times New Roman" w:eastAsia="Times New Roman" w:hAnsi="Times New Roman" w:cs="Times New Roman"/>
          <w:color w:val="000000"/>
          <w:sz w:val="24"/>
          <w:szCs w:val="24"/>
          <w:lang w:eastAsia="es-CR"/>
        </w:rPr>
        <w:t xml:space="preserve">, con capacidad para tratar 1.500 toneladas diarias de desechos sólidos y producir unas 200.000 toneladas anuales de abono orgánico. Las proyecciones indican que se generarán ingresos anuales de US$2,7 millones de la venta de abono orgánico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materiales reciclables recuperados en el proceso manual de preclasificación. Estos ingresos permitirían sufragar alrededor del 16% del costo total de la gestión de desechos sólidos en las dos ciudades, aparte de los beneficios económicos generados por el aumento de la producción agrícola, el ahorro en los costos de eliminación de desechos que de otra forma se habrían tenido que enfrentar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el ahorro para la economía del uso del material reciclado para reemplazar las importaciones. Si bien el costo de producir abono orgánico no se recuperará totalmente por medio de los ingresos de las ventas, los beneficios adicionales justificarían el proyecto.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t>BIOGÁS</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En el campo de la producción de biogás, se ha centrado gran atención en los programas de biogás de las familias rurales en países en desarrollo como China e India. Esta atención se </w:t>
      </w:r>
      <w:r w:rsidRPr="00DE72F6">
        <w:rPr>
          <w:rFonts w:ascii="Times New Roman" w:eastAsia="Times New Roman" w:hAnsi="Times New Roman" w:cs="Times New Roman"/>
          <w:color w:val="000000"/>
          <w:sz w:val="24"/>
          <w:szCs w:val="24"/>
          <w:lang w:eastAsia="es-CR"/>
        </w:rPr>
        <w:lastRenderedPageBreak/>
        <w:t xml:space="preserve">desplaza cada vez más hacia proyectos de biogás en gran escala basados en la </w:t>
      </w:r>
      <w:proofErr w:type="spellStart"/>
      <w:r w:rsidRPr="00DE72F6">
        <w:rPr>
          <w:rFonts w:ascii="Times New Roman" w:eastAsia="Times New Roman" w:hAnsi="Times New Roman" w:cs="Times New Roman"/>
          <w:color w:val="000000"/>
          <w:sz w:val="24"/>
          <w:szCs w:val="24"/>
          <w:lang w:eastAsia="es-CR"/>
        </w:rPr>
        <w:t>metanización</w:t>
      </w:r>
      <w:proofErr w:type="spellEnd"/>
      <w:r w:rsidRPr="00DE72F6">
        <w:rPr>
          <w:rFonts w:ascii="Times New Roman" w:eastAsia="Times New Roman" w:hAnsi="Times New Roman" w:cs="Times New Roman"/>
          <w:color w:val="000000"/>
          <w:sz w:val="24"/>
          <w:szCs w:val="24"/>
          <w:lang w:eastAsia="es-CR"/>
        </w:rPr>
        <w:t xml:space="preserve"> de los desechos urbanos o en los desechos agrícolas concentrados a través del proceso de digestión anaerobia.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El contenido de metano del biogás es elevado, variando de 50% a 75%, de modo que se lo puede quemar directamente para generar vapor o electricidad o utilizárselo como complemento del combustible diesel. Como alternativa, la fracción de metano puede purificarse y venderse a las compañías de energía eléctrica o envasarse para su uso en motores de vehículos, como combustible para cocinar u otras aplicaciones. Es posible que ocurran problemas de corrosión de modo que puede ser necesario limpiar el gas antes de quemarlo. Un beneficio adicional de la mayor parte de los sistemas de biogás es que el fango digerido que queda puede usarse como </w:t>
      </w:r>
      <w:proofErr w:type="spellStart"/>
      <w:r w:rsidRPr="00DE72F6">
        <w:rPr>
          <w:rFonts w:ascii="Times New Roman" w:eastAsia="Times New Roman" w:hAnsi="Times New Roman" w:cs="Times New Roman"/>
          <w:color w:val="000000"/>
          <w:sz w:val="24"/>
          <w:szCs w:val="24"/>
          <w:lang w:eastAsia="es-CR"/>
        </w:rPr>
        <w:t>biofertilizante</w:t>
      </w:r>
      <w:proofErr w:type="spellEnd"/>
      <w:r w:rsidRPr="00DE72F6">
        <w:rPr>
          <w:rFonts w:ascii="Times New Roman" w:eastAsia="Times New Roman" w:hAnsi="Times New Roman" w:cs="Times New Roman"/>
          <w:color w:val="000000"/>
          <w:sz w:val="24"/>
          <w:szCs w:val="24"/>
          <w:lang w:eastAsia="es-CR"/>
        </w:rPr>
        <w:t xml:space="preserve">.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En la industria de tratamiento de aguas residuales la digestión anaerobia del fango de alcantarilla es una práctica común y a menudo el calor recuperado al quemar el biogás se usa para satisfacer las necesidades energéticas del propio funcionamiento de la planta de tratamiento. La digestión del fango primario puede producir gas sobrante en cantidad que permita el bombeo de afluentes con baja altura de elevación. Los nuevos procesos anaerobios de tratamiento de las aguas residuales pueden también producir biogás directamente en cantidades utilizables.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Los procesos de mecanización que se desarrollan actualmente para la producción de biogás en gran escala a partir de los desechos son muy prometedores. Investigaciones recientes llevadas a cabo en Bélgica, Francia y los Estados Unidos demuestran que se puede producir gas con hasta 70% a 75% de contenido de metano a partir de la digestión anaerobia de la basura doméstica mezclada con el fango de aguas servidas. Se genera suficiente gas como para satisfacer el 20% de la demanda de energía de la comunidad. Otro método se basa en la </w:t>
      </w:r>
      <w:proofErr w:type="spellStart"/>
      <w:r w:rsidRPr="00DE72F6">
        <w:rPr>
          <w:rFonts w:ascii="Times New Roman" w:eastAsia="Times New Roman" w:hAnsi="Times New Roman" w:cs="Times New Roman"/>
          <w:color w:val="000000"/>
          <w:sz w:val="24"/>
          <w:szCs w:val="24"/>
          <w:lang w:eastAsia="es-CR"/>
        </w:rPr>
        <w:t>codigestión</w:t>
      </w:r>
      <w:proofErr w:type="spellEnd"/>
      <w:r w:rsidRPr="00DE72F6">
        <w:rPr>
          <w:rFonts w:ascii="Times New Roman" w:eastAsia="Times New Roman" w:hAnsi="Times New Roman" w:cs="Times New Roman"/>
          <w:color w:val="000000"/>
          <w:sz w:val="24"/>
          <w:szCs w:val="24"/>
          <w:lang w:eastAsia="es-CR"/>
        </w:rPr>
        <w:t xml:space="preserve"> de dicho fango con </w:t>
      </w:r>
      <w:proofErr w:type="spellStart"/>
      <w:r w:rsidRPr="00DE72F6">
        <w:rPr>
          <w:rFonts w:ascii="Times New Roman" w:eastAsia="Times New Roman" w:hAnsi="Times New Roman" w:cs="Times New Roman"/>
          <w:color w:val="000000"/>
          <w:sz w:val="24"/>
          <w:szCs w:val="24"/>
          <w:lang w:eastAsia="es-CR"/>
        </w:rPr>
        <w:t>jacintos</w:t>
      </w:r>
      <w:proofErr w:type="spellEnd"/>
      <w:r w:rsidRPr="00DE72F6">
        <w:rPr>
          <w:rFonts w:ascii="Times New Roman" w:eastAsia="Times New Roman" w:hAnsi="Times New Roman" w:cs="Times New Roman"/>
          <w:color w:val="000000"/>
          <w:sz w:val="24"/>
          <w:szCs w:val="24"/>
          <w:lang w:eastAsia="es-CR"/>
        </w:rPr>
        <w:t xml:space="preserve"> de agua cultivados en estanques de tratamiento de aguas servidas. Se construyen actualmente en los tres países plantas comerciales de escala completa.</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La recuperación del biogás de rellenos sanitarios es otra técnica que resulta comercialmente atractiva y es muy común actualmente en muchos países como Dinamarca y los Estados Unidos. Este gas es un producto que ocurre en forma natural en el proceso de digestión anaerobia de los desechos sólidos orgánicos que se depositan en los rellenos. En muchos de estos rellenos sanitarios se procede a inflamar el gas para evitar accidentes, pero puede también recogérselo mediante un sistema de bajo costo consistente en pozos y drenes instalados cuando se forma el relleno. A través del Proyecto del PNUD y el Banco Mundial, se lleva a cabo un análisis económico y financiero de los proyectos de recuperación de gas en rellenos sanitarios en el Brasil.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Hasta el año pasado los aspectos económicos de los planes de recuperación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utilización de biogás en gran escala parecían muy prometedores. La baja reciente de los precios del petróleo exige que se vuelvan a analizar todos estos planes. Sin embargo, en el caso de los países en desarrollo que no son importadores de combustibles, la mecanización de los desechos puede todavía ser una opción importante. Se necesita realizar minuciosos estudios de mercado para reducir cualquier riesgo financiero que afecte a la municipalidad y debe </w:t>
      </w:r>
      <w:r w:rsidRPr="00DE72F6">
        <w:rPr>
          <w:rFonts w:ascii="Times New Roman" w:eastAsia="Times New Roman" w:hAnsi="Times New Roman" w:cs="Times New Roman"/>
          <w:color w:val="000000"/>
          <w:sz w:val="24"/>
          <w:szCs w:val="24"/>
          <w:lang w:eastAsia="es-CR"/>
        </w:rPr>
        <w:lastRenderedPageBreak/>
        <w:t xml:space="preserve">darse seria consideración a la posibilidad de que el proyecto sea ejecutado por intereses comerciales privados.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t xml:space="preserve">RECICLAJE DE DESECHOS SOLIDOS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El reciclaje permite conservar y usar la energía, los materiales y los productos. Si se conserva más de lo que se usa, se pueden ahorrar materias primas, reducir los costos finales de disposición de desechos y el espacio que se necesitaría para enterrarlos y evitar la degradación ambiental. Puede también ayudar a reducir la dependencia de las importaciones, crear empleo e industrias caseras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fomentar las especialidades industriales a través de la reparación y regeneración de piezas recicladas.</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En las ciudades del mundo en desarrollo que se han estudiado hasta la fecha la clasificación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reciclado de desechos sólidos municipales es una dura realidad. Son actividades casi siempre realizadas por el sector no estructurado a través de grupos informales de basureros. Una excepción notable es la Compañía de Recuperación y Utilización de Materiales de </w:t>
      </w:r>
      <w:proofErr w:type="spellStart"/>
      <w:r w:rsidRPr="00DE72F6">
        <w:rPr>
          <w:rFonts w:ascii="Times New Roman" w:eastAsia="Times New Roman" w:hAnsi="Times New Roman" w:cs="Times New Roman"/>
          <w:color w:val="000000"/>
          <w:sz w:val="24"/>
          <w:szCs w:val="24"/>
          <w:lang w:eastAsia="es-CR"/>
        </w:rPr>
        <w:t>Shanghai</w:t>
      </w:r>
      <w:proofErr w:type="spellEnd"/>
      <w:r w:rsidRPr="00DE72F6">
        <w:rPr>
          <w:rFonts w:ascii="Times New Roman" w:eastAsia="Times New Roman" w:hAnsi="Times New Roman" w:cs="Times New Roman"/>
          <w:color w:val="000000"/>
          <w:sz w:val="24"/>
          <w:szCs w:val="24"/>
          <w:lang w:eastAsia="es-CR"/>
        </w:rPr>
        <w:t xml:space="preserve"> que, desde 1957, ha recuperado más de 20 millones de toneladas de metal, papel, paño, plásticos, caucho y otros materiales de desecho. En varios otros casos se han organizado los grupos informales de basureros, a los que se ha adiestrado y prestado asistencia para formar "cooperativas" de reciclaje, como en Manila (Filipinas), Ciudad Juárez (México), Cali (Colombia) y otras partes, o para hacerse cargo totalmente de las actividades de recolección, transporte, reciclaje y disposición de desechos como en El Cairo.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El alcance del reciclaje es difícil de estimar. Estudios realizados en varios países de </w:t>
      </w:r>
      <w:proofErr w:type="spellStart"/>
      <w:r w:rsidRPr="00DE72F6">
        <w:rPr>
          <w:rFonts w:ascii="Times New Roman" w:eastAsia="Times New Roman" w:hAnsi="Times New Roman" w:cs="Times New Roman"/>
          <w:color w:val="000000"/>
          <w:sz w:val="24"/>
          <w:szCs w:val="24"/>
          <w:lang w:eastAsia="es-CR"/>
        </w:rPr>
        <w:t>Africa</w:t>
      </w:r>
      <w:proofErr w:type="spellEnd"/>
      <w:r w:rsidRPr="00DE72F6">
        <w:rPr>
          <w:rFonts w:ascii="Times New Roman" w:eastAsia="Times New Roman" w:hAnsi="Times New Roman" w:cs="Times New Roman"/>
          <w:color w:val="000000"/>
          <w:sz w:val="24"/>
          <w:szCs w:val="24"/>
          <w:lang w:eastAsia="es-CR"/>
        </w:rPr>
        <w:t xml:space="preserve"> Occidental señalan que se recuperan hasta un 10% de los desechos sólidos municipales recolectados. Muchos desechos industriales reciclables jamás se mezclan con otros desechos y más bien se acarrean directamente. Esta recuperación directa evita la necesidad de separación y constituye un método más eficaz. La selección de materiales reciclables de los desechos sólidos ocurre en muchos lugares --en el hogar, al costado de la acera, desde contenedores de almacenamiento centrales, desde los vehículos de recogida recolección de basura, en estaciones de transferencia y en los vertederos. La regla general establece que mientras más cerca se esté a la fuente del desecho, mejor. La separación de los desechos domésticos en el propio hogar sería ideal pero a menudo no se puede lograr debido a la indiferencia del público o a la falta de contenedores de almacenamiento o de espacio en barrios de menor capacidad económica.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Debido a que la actividad de los basureros informales está tan generalizada, parece ser relativamente eficaz en la mayoría de los casos y proporciona empleo a quienes de otra manera no lo tendrían, las autoridades municipales deben buscar la manera de hacer un mejor uso de esta práctica más bien que tratar de eliminarla, o competir con ella. Como aliciente a los grupos informales de basureros debe dárseles reconocimiento oficial, prestárselas ayuda para mejorar sus condiciones de trabajo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de vida, instalar centros de compra con listas de precios establecidos y contratar a los informales como clasificadores en las instalaciones de recuperación de materiales. Aún más, el Gobierno debe ofrecer incentivos económicos y en materia de políticas para el establecimiento de industrias de </w:t>
      </w:r>
      <w:r w:rsidRPr="00DE72F6">
        <w:rPr>
          <w:rFonts w:ascii="Times New Roman" w:eastAsia="Times New Roman" w:hAnsi="Times New Roman" w:cs="Times New Roman"/>
          <w:color w:val="000000"/>
          <w:sz w:val="24"/>
          <w:szCs w:val="24"/>
          <w:lang w:eastAsia="es-CR"/>
        </w:rPr>
        <w:lastRenderedPageBreak/>
        <w:t xml:space="preserve">reciclaje y el uso de materiales reciclados que tengan preferencia con respecto a los materiales importados o vírgenes.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t>AUTOSUFICIENCIA EN LAS ZONAS URBANAS MARGINALES</w:t>
      </w:r>
      <w:r w:rsidRPr="00DE72F6">
        <w:rPr>
          <w:rFonts w:ascii="Times New Roman" w:eastAsia="Times New Roman" w:hAnsi="Times New Roman" w:cs="Times New Roman"/>
          <w:color w:val="000000"/>
          <w:sz w:val="24"/>
          <w:szCs w:val="24"/>
          <w:lang w:eastAsia="es-CR"/>
        </w:rPr>
        <w:t xml:space="preserve">.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Quizás el problema de gestión de los desechos sólidos urbanos más difícil a que se enfrentan los funcionarios municipales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de salud pública sea el de proporcionar servicios o mejorar los que ya se ofrecen a los habitantes pobres que pueblan, en un estallido demográfico, las periferias de las ciudades --a veces del 25% al 40% de la población urbana. La recolección de desechos sólidos utilizando camiones convencionales por lo general no es factible debido al acceso limitado Y, más importante aún, a la falta de medios para hacerlo. Se cuenta con algunas soluciones tecnológicas para el problema del acceso, como las carretillas manuales, los vehículos de tracción animal, los triciclos motorizados o los tractores agrícolas pequeños que arrastran remolques de plataforma abierta. Estas técnicas están también más al alcance desde el punto de vista de una inversión y costos de operación menores, especialmente si la comunidad puede hacer pagos en especie por la mano de obra.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Además de la capacidad de pagar, debe también tenerse en cuenta la disposición a hacerlo. Los pobres pueden estar en condiciones de contribuir en especie o en efectivo al pago de los servicios de recolección de basura, pero la disposición a hacerlo dependerá de cómo perciban la necesidad de los servicios ofrecidos y la calidad de los mismos. La promoción comunitaria y las campañas educativas en aspectos de higiene son a menudo muy útiles para movilizar a los residentes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lograr que apoyen los planes de recolección de basuras que satisfagan sus expectativas, así como conseguir que participen en ellos.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Un método para lograr la autosuficiencia comunitaria en los asentamientos periféricos, que ha obtenido muy buenos resultados en varios países latinoamericanos, combina tres elementos fundamentales: (a) la adopción y adaptación de tecnologías apropiadas; (b) la incorporación de actividades de recuperación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reciclaje de recursos, y (c)</w:t>
      </w:r>
      <w:r w:rsidRPr="00DE72F6">
        <w:rPr>
          <w:rFonts w:ascii="Times New Roman" w:eastAsia="Times New Roman" w:hAnsi="Times New Roman" w:cs="Times New Roman"/>
          <w:b/>
          <w:bCs/>
          <w:color w:val="000000"/>
          <w:sz w:val="24"/>
          <w:szCs w:val="24"/>
          <w:lang w:eastAsia="es-CR"/>
        </w:rPr>
        <w:t xml:space="preserve"> </w:t>
      </w:r>
      <w:r w:rsidRPr="00DE72F6">
        <w:rPr>
          <w:rFonts w:ascii="Times New Roman" w:eastAsia="Times New Roman" w:hAnsi="Times New Roman" w:cs="Times New Roman"/>
          <w:color w:val="000000"/>
          <w:sz w:val="24"/>
          <w:szCs w:val="24"/>
          <w:lang w:eastAsia="es-CR"/>
        </w:rPr>
        <w:t xml:space="preserve">la participación de la comunidad en la gestión y suministro de servicios de recolección, transporte, reciclaje y disposición final.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La participación comunitaria puede adoptar diversas formas. La más sencilla es que los residentes realicen tareas básicas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se enlacen eficazmente con el servicio municipal. En el nivel doméstico, esto puede incluir tareas como barrer la calle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limpiar los drenajes de la misma frente a las casas, separar la basura orgánica de los desechos inorgánicos, preparar el abono orgánico en el patio, o hacer que los residentes depositen sus desechos directamente en recipientes comunales o en puntos locales de recolección. En el nivel comunitario un ejemplo es la formación de brigadas de trabajadores voluntarios para cargar en los vehículos municipales la basura acumulada en puntos locales de recolección.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En un nivel más alto de complejidad la comunidad puede establecer empresas de gestión de los desechos con empleados y administradores locales, por ejemplo, el establecimiento de sistemas manuales de recolección para proporcionar servicios domésticos, o la administración de depósitos comunales de desechos donde la clasificación </w:t>
      </w:r>
      <w:r w:rsidRPr="00DE72F6">
        <w:rPr>
          <w:rFonts w:ascii="Times New Roman" w:eastAsia="Times New Roman" w:hAnsi="Times New Roman" w:cs="Times New Roman"/>
          <w:b/>
          <w:bCs/>
          <w:color w:val="000000"/>
          <w:sz w:val="24"/>
          <w:szCs w:val="24"/>
          <w:lang w:eastAsia="es-CR"/>
        </w:rPr>
        <w:t xml:space="preserve">y </w:t>
      </w:r>
      <w:r w:rsidRPr="00DE72F6">
        <w:rPr>
          <w:rFonts w:ascii="Times New Roman" w:eastAsia="Times New Roman" w:hAnsi="Times New Roman" w:cs="Times New Roman"/>
          <w:color w:val="000000"/>
          <w:sz w:val="24"/>
          <w:szCs w:val="24"/>
          <w:lang w:eastAsia="es-CR"/>
        </w:rPr>
        <w:t xml:space="preserve">reciclaje manuales se llevan a cabo junto con la preparación manual de abono orgánico. Los planes </w:t>
      </w:r>
      <w:r w:rsidRPr="00DE72F6">
        <w:rPr>
          <w:rFonts w:ascii="Times New Roman" w:eastAsia="Times New Roman" w:hAnsi="Times New Roman" w:cs="Times New Roman"/>
          <w:color w:val="000000"/>
          <w:sz w:val="24"/>
          <w:szCs w:val="24"/>
          <w:lang w:eastAsia="es-CR"/>
        </w:rPr>
        <w:lastRenderedPageBreak/>
        <w:t xml:space="preserve">pueden incluir industrias domésticas derivadas de estas actividades, como fábricas pequeñas para producir carretillas o escobas. Un proyecto que combina con buen éxito todas estas opciones se lleva a cabo en </w:t>
      </w:r>
      <w:proofErr w:type="spellStart"/>
      <w:r w:rsidRPr="00DE72F6">
        <w:rPr>
          <w:rFonts w:ascii="Times New Roman" w:eastAsia="Times New Roman" w:hAnsi="Times New Roman" w:cs="Times New Roman"/>
          <w:color w:val="000000"/>
          <w:sz w:val="24"/>
          <w:szCs w:val="24"/>
          <w:lang w:eastAsia="es-CR"/>
        </w:rPr>
        <w:t>Olinda</w:t>
      </w:r>
      <w:proofErr w:type="spellEnd"/>
      <w:r w:rsidRPr="00DE72F6">
        <w:rPr>
          <w:rFonts w:ascii="Times New Roman" w:eastAsia="Times New Roman" w:hAnsi="Times New Roman" w:cs="Times New Roman"/>
          <w:color w:val="000000"/>
          <w:sz w:val="24"/>
          <w:szCs w:val="24"/>
          <w:lang w:eastAsia="es-CR"/>
        </w:rPr>
        <w:t xml:space="preserve">, Brasil.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Finalmente, es posible establecer sistemas plenamente integrados de gestión de los desechos comunitarios. En Ciudad de Guatemala han surgido asentamientos en las estribaciones que rodean a la ciudad. Unas 20 de dichas comunidades existen en diferentes cuencas menores de drenaje. Se ha elaborado un proyecto de demostración de una de dichas comunidades que se repetirá en las otras. Incluye la gestión de los desechos líquidos y sólidos. Los desechos sólidos son recolectados por la comunidad y tratados en un centro de preparación de abono orgánico y reciclaje. Adyacente al centro hay lagunas multicelulares de estabilización de aguas residuales con actividades de acuacultura en las lagunas de acabado. Los afluentes tratados y abono orgánico se trasladan a campos agrícolas cercanos. Las actividades combinadas significan oportunidades de empleo para un gran número de residentes locales y un flujo de productos derivados de las actividades de reciclaje y agricultura para su venta en los mercados locales.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Los proyectos de demostración como los mencionados indican que es posible lograr soluciones adecuadas y al alcance de todos en las zonas urbanas marginales y que existe la voluntad de la comunidad para ponerlas en práctica. Las autoridades municipales deben estimular estos esfuerzos y ayudar a las comunidades a resolver sus problemas.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000000"/>
          <w:sz w:val="24"/>
          <w:szCs w:val="24"/>
          <w:lang w:eastAsia="es-CR"/>
        </w:rPr>
        <w:t xml:space="preserve">RESUME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En resumen, en este trabajo se ha sostenido que las municipalidades en los países en desarrollo pueden mejorar su capacidad de gestión de los desechos mediante una estrategia de recuperación de recursos y reciclaje de desperdicios. Se han descrito los esfuerzos del PNUD y del Banco Mundial para demostrar cómo puede lograrse esto, haciéndose hincapié en técnicas de reciclaje sencillas y de bajo costo. Se refuerza este punto de vista con abundantes ejemplos de ciudades del Tercer Mundo.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t xml:space="preserve">En combinación con el desarrollo institucional, una mejor gestión financiera y el uso generalizado de tecnologías apropiadas, la estrategia de recuperación y reciclaje de recursos puede llevar a la autosuficiencia municipal en la recolección y eliminación de desechos. </w:t>
      </w:r>
    </w:p>
    <w:p w:rsidR="00DE72F6" w:rsidRPr="00DE72F6" w:rsidRDefault="00DE72F6" w:rsidP="00DE72F6">
      <w:pPr>
        <w:spacing w:before="100" w:beforeAutospacing="1" w:after="100" w:afterAutospacing="1" w:line="240" w:lineRule="auto"/>
        <w:jc w:val="center"/>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b/>
          <w:bCs/>
          <w:color w:val="000000"/>
          <w:sz w:val="24"/>
          <w:szCs w:val="24"/>
          <w:lang w:val="en-US" w:eastAsia="es-CR"/>
        </w:rPr>
        <w:t>ANNEX I</w:t>
      </w:r>
    </w:p>
    <w:p w:rsidR="00DE72F6" w:rsidRPr="00DE72F6" w:rsidRDefault="00DE72F6" w:rsidP="00DE72F6">
      <w:pPr>
        <w:spacing w:before="100" w:beforeAutospacing="1" w:after="100" w:afterAutospacing="1" w:line="240" w:lineRule="auto"/>
        <w:jc w:val="center"/>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b/>
          <w:bCs/>
          <w:color w:val="000000"/>
          <w:sz w:val="24"/>
          <w:szCs w:val="24"/>
          <w:u w:val="single"/>
          <w:lang w:val="en-US" w:eastAsia="es-CR"/>
        </w:rPr>
        <w:t>World Bank Publications on Urban Waste Management</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b/>
          <w:bCs/>
          <w:color w:val="000000"/>
          <w:sz w:val="24"/>
          <w:szCs w:val="24"/>
          <w:lang w:val="en-US" w:eastAsia="es-CR"/>
        </w:rPr>
        <w:t>UNDP/World Bank Resource Recovery Series</w:t>
      </w:r>
      <w:r w:rsidRPr="00DE72F6">
        <w:rPr>
          <w:rFonts w:ascii="Times New Roman" w:eastAsia="Times New Roman" w:hAnsi="Times New Roman" w:cs="Times New Roman"/>
          <w:color w:val="000000"/>
          <w:sz w:val="24"/>
          <w:szCs w:val="24"/>
          <w:lang w:val="en-US" w:eastAsia="es-CR"/>
        </w:rPr>
        <w:t xml:space="preserve">: </w:t>
      </w:r>
    </w:p>
    <w:p w:rsidR="00DE72F6" w:rsidRPr="00DE72F6" w:rsidRDefault="00DE72F6" w:rsidP="00DE72F6">
      <w:pPr>
        <w:spacing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 xml:space="preserve">1. Recycling from Municipal Refuse: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 xml:space="preserve">A State-of-the-art Review and Annotated Bibliography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lastRenderedPageBreak/>
        <w:t xml:space="preserve">by Sandra Johnson Cointreau, Charles G. Gunnerson, John M. Huls, and Neil N. Seldman (WBTP No. 30, 1984)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 xml:space="preserve">2. Remanufacturing: The Experience of the United States and Implications for Developing Countries by Robert T. Lund (WBTP No. 31, 1984)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3. Aquaculture: A Component of Low Cost Sanitation Technology by Peter Edwards (WBTP No. 36, 1985)</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 xml:space="preserve">4. Municipal Waste Processing in Europe: A Status Report on Selected Materials and Energy Recovery Projects by James G. Abert (WBTP No. 37, 1985)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 xml:space="preserve">5. Anaerobic Digestion - Principles and Practices for Biogas Systems by Charles G. Gunnerson and David C. Stuckey (WBTP No. 49, 1986)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 xml:space="preserve">6. Wastewater Irrigation in Developing Countries - Health Effects and Technical Solutions by Hillel I. Shuval, Avner Adin, Badri Fattal, Eliyahu Rawitz, and Perez Yekutiel (WBTP No. 51, 1986)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 xml:space="preserve">Urban Development Technical Papers Series: </w:t>
      </w:r>
    </w:p>
    <w:p w:rsidR="00DE72F6" w:rsidRPr="00DE72F6" w:rsidRDefault="00DE72F6" w:rsidP="00DE72F6">
      <w:pPr>
        <w:spacing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5. Environmental Management of Urban Solid Wastes in Developing Countries by Sandra J. Cointreau (UDTP No. 5, 1982)</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val="en-US" w:eastAsia="es-CR"/>
        </w:rPr>
      </w:pPr>
      <w:r w:rsidRPr="00DE72F6">
        <w:rPr>
          <w:rFonts w:ascii="Times New Roman" w:eastAsia="Times New Roman" w:hAnsi="Times New Roman" w:cs="Times New Roman"/>
          <w:color w:val="000000"/>
          <w:sz w:val="24"/>
          <w:szCs w:val="24"/>
          <w:lang w:val="en-US" w:eastAsia="es-CR"/>
        </w:rPr>
        <w:t xml:space="preserve">6. Notes on the Design and Operation of Waste Stabilization Ponds in Warm Climates of Developing Countries by J. P. Arthur (UDTP No. 6, 1983)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proofErr w:type="spellStart"/>
      <w:r w:rsidRPr="00DE72F6">
        <w:rPr>
          <w:rFonts w:ascii="Times New Roman" w:eastAsia="Times New Roman" w:hAnsi="Times New Roman" w:cs="Times New Roman"/>
          <w:color w:val="000000"/>
          <w:sz w:val="24"/>
          <w:szCs w:val="24"/>
          <w:lang w:eastAsia="es-CR"/>
        </w:rPr>
        <w:t>Request</w:t>
      </w:r>
      <w:proofErr w:type="spellEnd"/>
      <w:r w:rsidRPr="00DE72F6">
        <w:rPr>
          <w:rFonts w:ascii="Times New Roman" w:eastAsia="Times New Roman" w:hAnsi="Times New Roman" w:cs="Times New Roman"/>
          <w:color w:val="000000"/>
          <w:sz w:val="24"/>
          <w:szCs w:val="24"/>
          <w:lang w:eastAsia="es-CR"/>
        </w:rPr>
        <w:t xml:space="preserve"> </w:t>
      </w:r>
      <w:proofErr w:type="spellStart"/>
      <w:r w:rsidRPr="00DE72F6">
        <w:rPr>
          <w:rFonts w:ascii="Times New Roman" w:eastAsia="Times New Roman" w:hAnsi="Times New Roman" w:cs="Times New Roman"/>
          <w:color w:val="000000"/>
          <w:sz w:val="24"/>
          <w:szCs w:val="24"/>
          <w:lang w:eastAsia="es-CR"/>
        </w:rPr>
        <w:t>from</w:t>
      </w:r>
      <w:proofErr w:type="spellEnd"/>
      <w:r w:rsidRPr="00DE72F6">
        <w:rPr>
          <w:rFonts w:ascii="Times New Roman" w:eastAsia="Times New Roman" w:hAnsi="Times New Roman" w:cs="Times New Roman"/>
          <w:color w:val="000000"/>
          <w:sz w:val="24"/>
          <w:szCs w:val="24"/>
          <w:lang w:eastAsia="es-CR"/>
        </w:rPr>
        <w:t xml:space="preserve">: </w:t>
      </w:r>
    </w:p>
    <w:p w:rsidR="00DE72F6" w:rsidRPr="00DE72F6" w:rsidRDefault="00DE72F6" w:rsidP="00DE72F6">
      <w:pPr>
        <w:spacing w:before="100" w:beforeAutospacing="1" w:after="100" w:afterAutospacing="1" w:line="240" w:lineRule="auto"/>
        <w:rPr>
          <w:rFonts w:ascii="Times New Roman" w:eastAsia="Times New Roman" w:hAnsi="Times New Roman" w:cs="Times New Roman"/>
          <w:color w:val="000000"/>
          <w:sz w:val="24"/>
          <w:szCs w:val="24"/>
          <w:lang w:eastAsia="es-CR"/>
        </w:rPr>
      </w:pPr>
      <w:proofErr w:type="gramStart"/>
      <w:r w:rsidRPr="00DE72F6">
        <w:rPr>
          <w:rFonts w:ascii="Times New Roman" w:eastAsia="Times New Roman" w:hAnsi="Times New Roman" w:cs="Times New Roman"/>
          <w:color w:val="000000"/>
          <w:sz w:val="24"/>
          <w:szCs w:val="24"/>
          <w:lang w:val="en-US" w:eastAsia="es-CR"/>
        </w:rPr>
        <w:t xml:space="preserve">Publications Unit </w:t>
      </w:r>
      <w:r w:rsidRPr="00DE72F6">
        <w:rPr>
          <w:rFonts w:ascii="Times New Roman" w:eastAsia="Times New Roman" w:hAnsi="Times New Roman" w:cs="Times New Roman"/>
          <w:color w:val="000000"/>
          <w:sz w:val="24"/>
          <w:szCs w:val="24"/>
          <w:lang w:val="en-US" w:eastAsia="es-CR"/>
        </w:rPr>
        <w:br/>
        <w:t xml:space="preserve">Water Supply and Urban Development Department </w:t>
      </w:r>
      <w:r w:rsidRPr="00DE72F6">
        <w:rPr>
          <w:rFonts w:ascii="Times New Roman" w:eastAsia="Times New Roman" w:hAnsi="Times New Roman" w:cs="Times New Roman"/>
          <w:color w:val="000000"/>
          <w:sz w:val="24"/>
          <w:szCs w:val="24"/>
          <w:lang w:val="en-US" w:eastAsia="es-CR"/>
        </w:rPr>
        <w:br/>
        <w:t xml:space="preserve">1818 H Street, N.W. </w:t>
      </w:r>
      <w:r w:rsidRPr="00DE72F6">
        <w:rPr>
          <w:rFonts w:ascii="Times New Roman" w:eastAsia="Times New Roman" w:hAnsi="Times New Roman" w:cs="Times New Roman"/>
          <w:color w:val="000000"/>
          <w:sz w:val="24"/>
          <w:szCs w:val="24"/>
          <w:lang w:val="en-US" w:eastAsia="es-CR"/>
        </w:rPr>
        <w:br/>
      </w:r>
      <w:r w:rsidRPr="00DE72F6">
        <w:rPr>
          <w:rFonts w:ascii="Times New Roman" w:eastAsia="Times New Roman" w:hAnsi="Times New Roman" w:cs="Times New Roman"/>
          <w:color w:val="000000"/>
          <w:sz w:val="24"/>
          <w:szCs w:val="24"/>
          <w:lang w:eastAsia="es-CR"/>
        </w:rPr>
        <w:t xml:space="preserve">Washington, D.C. 20433 </w:t>
      </w:r>
      <w:r w:rsidRPr="00DE72F6">
        <w:rPr>
          <w:rFonts w:ascii="Times New Roman" w:eastAsia="Times New Roman" w:hAnsi="Times New Roman" w:cs="Times New Roman"/>
          <w:color w:val="000000"/>
          <w:sz w:val="24"/>
          <w:szCs w:val="24"/>
          <w:lang w:eastAsia="es-CR"/>
        </w:rPr>
        <w:br/>
        <w:t>U.S.A.</w:t>
      </w:r>
      <w:proofErr w:type="gramEnd"/>
      <w:r w:rsidRPr="00DE72F6">
        <w:rPr>
          <w:rFonts w:ascii="Times New Roman" w:eastAsia="Times New Roman" w:hAnsi="Times New Roman" w:cs="Times New Roman"/>
          <w:color w:val="000000"/>
          <w:sz w:val="24"/>
          <w:szCs w:val="24"/>
          <w:lang w:eastAsia="es-CR"/>
        </w:rPr>
        <w:t xml:space="preserve"> </w:t>
      </w:r>
    </w:p>
    <w:p w:rsidR="00DE72F6" w:rsidRPr="00DE72F6" w:rsidRDefault="00DE72F6" w:rsidP="00DE72F6">
      <w:pPr>
        <w:spacing w:after="0" w:line="240" w:lineRule="auto"/>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color w:val="000000"/>
          <w:sz w:val="24"/>
          <w:szCs w:val="24"/>
          <w:lang w:eastAsia="es-CR"/>
        </w:rPr>
        <w:pict>
          <v:rect id="_x0000_i1026" style="width:132.55pt;height:1.5pt" o:hrpct="300" o:hralign="center" o:hrstd="t" o:hr="t" fillcolor="#a0a0a0" stroked="f"/>
        </w:pict>
      </w:r>
    </w:p>
    <w:p w:rsidR="00DE72F6" w:rsidRPr="00DE72F6" w:rsidRDefault="00DE72F6" w:rsidP="00DE72F6">
      <w:pPr>
        <w:spacing w:before="100" w:beforeAutospacing="1" w:after="100" w:afterAutospacing="1" w:line="240" w:lineRule="auto"/>
        <w:jc w:val="center"/>
        <w:rPr>
          <w:rFonts w:ascii="Times New Roman" w:eastAsia="Times New Roman" w:hAnsi="Times New Roman" w:cs="Times New Roman"/>
          <w:color w:val="000000"/>
          <w:sz w:val="24"/>
          <w:szCs w:val="24"/>
          <w:lang w:eastAsia="es-CR"/>
        </w:rPr>
      </w:pPr>
      <w:r w:rsidRPr="00DE72F6">
        <w:rPr>
          <w:rFonts w:ascii="Times New Roman" w:eastAsia="Times New Roman" w:hAnsi="Times New Roman" w:cs="Times New Roman"/>
          <w:b/>
          <w:bCs/>
          <w:color w:val="FF0000"/>
          <w:sz w:val="20"/>
          <w:szCs w:val="20"/>
          <w:lang w:eastAsia="es-CR"/>
        </w:rPr>
        <w:t>Actualizado el 26/Ene/99</w:t>
      </w:r>
      <w:r w:rsidRPr="00DE72F6">
        <w:rPr>
          <w:rFonts w:ascii="Times New Roman" w:eastAsia="Times New Roman" w:hAnsi="Times New Roman" w:cs="Times New Roman"/>
          <w:color w:val="FF0000"/>
          <w:sz w:val="20"/>
          <w:szCs w:val="20"/>
          <w:lang w:eastAsia="es-CR"/>
        </w:rPr>
        <w:t xml:space="preserve"> </w:t>
      </w:r>
      <w:r w:rsidRPr="00DE72F6">
        <w:rPr>
          <w:rFonts w:ascii="Times New Roman" w:eastAsia="Times New Roman" w:hAnsi="Times New Roman" w:cs="Times New Roman"/>
          <w:color w:val="000000"/>
          <w:sz w:val="20"/>
          <w:szCs w:val="20"/>
          <w:lang w:eastAsia="es-CR"/>
        </w:rPr>
        <w:br/>
      </w:r>
      <w:r w:rsidRPr="00DE72F6">
        <w:rPr>
          <w:rFonts w:ascii="Times New Roman" w:eastAsia="Times New Roman" w:hAnsi="Times New Roman" w:cs="Times New Roman"/>
          <w:b/>
          <w:bCs/>
          <w:color w:val="000000"/>
          <w:sz w:val="20"/>
          <w:szCs w:val="20"/>
          <w:lang w:eastAsia="es-CR"/>
        </w:rPr>
        <w:t xml:space="preserve">Comentarios al </w:t>
      </w:r>
      <w:hyperlink r:id="rId10" w:history="1">
        <w:proofErr w:type="spellStart"/>
        <w:r w:rsidRPr="00DE72F6">
          <w:rPr>
            <w:rFonts w:ascii="Times New Roman" w:eastAsia="Times New Roman" w:hAnsi="Times New Roman" w:cs="Times New Roman"/>
            <w:b/>
            <w:bCs/>
            <w:i/>
            <w:iCs/>
            <w:color w:val="0000FF"/>
            <w:sz w:val="20"/>
            <w:u w:val="single"/>
            <w:lang w:eastAsia="es-CR"/>
          </w:rPr>
          <w:t>Webmaster</w:t>
        </w:r>
        <w:proofErr w:type="spellEnd"/>
      </w:hyperlink>
      <w:r w:rsidRPr="00DE72F6">
        <w:rPr>
          <w:rFonts w:ascii="Times New Roman" w:eastAsia="Times New Roman" w:hAnsi="Times New Roman" w:cs="Times New Roman"/>
          <w:color w:val="000000"/>
          <w:sz w:val="20"/>
          <w:szCs w:val="20"/>
          <w:lang w:eastAsia="es-CR"/>
        </w:rPr>
        <w:t xml:space="preserve"> </w:t>
      </w:r>
    </w:p>
    <w:p w:rsidR="00230B3D" w:rsidRDefault="00230B3D"/>
    <w:sectPr w:rsidR="00230B3D" w:rsidSect="00230B3D">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proofState w:spelling="clean" w:grammar="clean"/>
  <w:defaultTabStop w:val="708"/>
  <w:hyphenationZone w:val="425"/>
  <w:characterSpacingControl w:val="doNotCompress"/>
  <w:compat/>
  <w:rsids>
    <w:rsidRoot w:val="00DE72F6"/>
    <w:rsid w:val="00230B3D"/>
    <w:rsid w:val="00DE72F6"/>
  </w:rsids>
  <m:mathPr>
    <m:mathFont m:val="Cambria Math"/>
    <m:brkBin m:val="before"/>
    <m:brkBinSub m:val="--"/>
    <m:smallFrac m:val="off"/>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0B3D"/>
  </w:style>
  <w:style w:type="paragraph" w:styleId="Ttulo3">
    <w:name w:val="heading 3"/>
    <w:basedOn w:val="Normal"/>
    <w:link w:val="Ttulo3Car"/>
    <w:uiPriority w:val="9"/>
    <w:qFormat/>
    <w:rsid w:val="00DE72F6"/>
    <w:pPr>
      <w:spacing w:before="100" w:beforeAutospacing="1" w:after="100" w:afterAutospacing="1" w:line="240" w:lineRule="auto"/>
      <w:outlineLvl w:val="2"/>
    </w:pPr>
    <w:rPr>
      <w:rFonts w:ascii="Times New Roman" w:eastAsia="Times New Roman" w:hAnsi="Times New Roman" w:cs="Times New Roman"/>
      <w:b/>
      <w:bCs/>
      <w:color w:val="000000"/>
      <w:sz w:val="27"/>
      <w:szCs w:val="27"/>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DE72F6"/>
    <w:rPr>
      <w:rFonts w:ascii="Times New Roman" w:eastAsia="Times New Roman" w:hAnsi="Times New Roman" w:cs="Times New Roman"/>
      <w:b/>
      <w:bCs/>
      <w:color w:val="000000"/>
      <w:sz w:val="27"/>
      <w:szCs w:val="27"/>
      <w:lang w:eastAsia="es-CR"/>
    </w:rPr>
  </w:style>
  <w:style w:type="paragraph" w:styleId="NormalWeb">
    <w:name w:val="Normal (Web)"/>
    <w:basedOn w:val="Normal"/>
    <w:uiPriority w:val="99"/>
    <w:unhideWhenUsed/>
    <w:rsid w:val="00DE72F6"/>
    <w:pPr>
      <w:spacing w:before="100" w:beforeAutospacing="1" w:after="100" w:afterAutospacing="1" w:line="240" w:lineRule="auto"/>
    </w:pPr>
    <w:rPr>
      <w:rFonts w:ascii="Times New Roman" w:eastAsia="Times New Roman" w:hAnsi="Times New Roman" w:cs="Times New Roman"/>
      <w:color w:val="000000"/>
      <w:sz w:val="24"/>
      <w:szCs w:val="24"/>
      <w:lang w:eastAsia="es-CR"/>
    </w:rPr>
  </w:style>
  <w:style w:type="character" w:styleId="Hipervnculo">
    <w:name w:val="Hyperlink"/>
    <w:basedOn w:val="Fuentedeprrafopredeter"/>
    <w:uiPriority w:val="99"/>
    <w:semiHidden/>
    <w:unhideWhenUsed/>
    <w:rsid w:val="00DE72F6"/>
    <w:rPr>
      <w:color w:val="0000FF"/>
      <w:u w:val="single"/>
    </w:rPr>
  </w:style>
  <w:style w:type="character" w:styleId="Textoennegrita">
    <w:name w:val="Strong"/>
    <w:basedOn w:val="Fuentedeprrafopredeter"/>
    <w:uiPriority w:val="22"/>
    <w:qFormat/>
    <w:rsid w:val="00DE72F6"/>
    <w:rPr>
      <w:b/>
      <w:bCs/>
    </w:rPr>
  </w:style>
  <w:style w:type="paragraph" w:styleId="Textodeglobo">
    <w:name w:val="Balloon Text"/>
    <w:basedOn w:val="Normal"/>
    <w:link w:val="TextodegloboCar"/>
    <w:uiPriority w:val="99"/>
    <w:semiHidden/>
    <w:unhideWhenUsed/>
    <w:rsid w:val="00DE72F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E72F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41121773">
      <w:bodyDiv w:val="1"/>
      <w:marLeft w:val="0"/>
      <w:marRight w:val="0"/>
      <w:marTop w:val="0"/>
      <w:marBottom w:val="0"/>
      <w:divBdr>
        <w:top w:val="none" w:sz="0" w:space="0" w:color="auto"/>
        <w:left w:val="none" w:sz="0" w:space="0" w:color="auto"/>
        <w:bottom w:val="none" w:sz="0" w:space="0" w:color="auto"/>
        <w:right w:val="none" w:sz="0" w:space="0" w:color="auto"/>
      </w:divBdr>
      <w:divsChild>
        <w:div w:id="1979451155">
          <w:blockQuote w:val="1"/>
          <w:marLeft w:val="720"/>
          <w:marRight w:val="720"/>
          <w:marTop w:val="100"/>
          <w:marBottom w:val="100"/>
          <w:divBdr>
            <w:top w:val="none" w:sz="0" w:space="0" w:color="auto"/>
            <w:left w:val="none" w:sz="0" w:space="0" w:color="auto"/>
            <w:bottom w:val="none" w:sz="0" w:space="0" w:color="auto"/>
            <w:right w:val="none" w:sz="0" w:space="0" w:color="auto"/>
          </w:divBdr>
        </w:div>
        <w:div w:id="20107105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dobe.com/prodindex/acrobat/readstep.html" TargetMode="External"/><Relationship Id="rId3" Type="http://schemas.openxmlformats.org/officeDocument/2006/relationships/webSettings" Target="webSettings.xml"/><Relationship Id="rId7" Type="http://schemas.openxmlformats.org/officeDocument/2006/relationships/hyperlink" Target="http://www.bvsde.paho.org/acrobat/gestion.pdf"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gif"/><Relationship Id="rId11" Type="http://schemas.openxmlformats.org/officeDocument/2006/relationships/fontTable" Target="fontTable.xml"/><Relationship Id="rId5" Type="http://schemas.openxmlformats.org/officeDocument/2006/relationships/image" Target="media/image2.gif"/><Relationship Id="rId10" Type="http://schemas.openxmlformats.org/officeDocument/2006/relationships/hyperlink" Target="mailto:webmaster@cepis.org.pe" TargetMode="External"/><Relationship Id="rId4" Type="http://schemas.openxmlformats.org/officeDocument/2006/relationships/image" Target="media/image1.gif"/><Relationship Id="rId9" Type="http://schemas.openxmlformats.org/officeDocument/2006/relationships/image" Target="media/image4.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5775</Words>
  <Characters>31767</Characters>
  <Application>Microsoft Office Word</Application>
  <DocSecurity>0</DocSecurity>
  <Lines>264</Lines>
  <Paragraphs>74</Paragraphs>
  <ScaleCrop>false</ScaleCrop>
  <Company>Hewlett-Packard Company</Company>
  <LinksUpToDate>false</LinksUpToDate>
  <CharactersWithSpaces>37468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dc:creator>
  <cp:lastModifiedBy>fernando</cp:lastModifiedBy>
  <cp:revision>1</cp:revision>
  <dcterms:created xsi:type="dcterms:W3CDTF">2012-01-16T17:58:00Z</dcterms:created>
  <dcterms:modified xsi:type="dcterms:W3CDTF">2012-01-16T17:58:00Z</dcterms:modified>
</cp:coreProperties>
</file>