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13D933" w14:textId="77777777" w:rsidR="00837513" w:rsidRDefault="00837513" w:rsidP="00837513">
      <w:pPr>
        <w:spacing w:line="257" w:lineRule="auto"/>
        <w:rPr>
          <w:rFonts w:ascii="Candara" w:eastAsia="Candara" w:hAnsi="Candara" w:cs="Candara"/>
          <w:b/>
          <w:bCs/>
          <w:sz w:val="22"/>
          <w:szCs w:val="22"/>
        </w:rPr>
      </w:pPr>
    </w:p>
    <w:p w14:paraId="268054CB" w14:textId="77777777" w:rsidR="00837513" w:rsidRPr="00412B79" w:rsidRDefault="00837513" w:rsidP="00837513">
      <w:pPr>
        <w:spacing w:line="257" w:lineRule="auto"/>
      </w:pPr>
      <w:r w:rsidRPr="09C45A0F">
        <w:rPr>
          <w:rFonts w:ascii="Candara" w:eastAsia="Candara" w:hAnsi="Candara" w:cs="Candara"/>
          <w:b/>
          <w:bCs/>
          <w:sz w:val="22"/>
          <w:szCs w:val="22"/>
        </w:rPr>
        <w:t>Declaración de información y responsabilidades asociadas al Certificado de Vacunación de COVID-19 para personas con contraindicación médica.</w:t>
      </w:r>
      <w:r>
        <w:rPr>
          <w:rFonts w:ascii="Candara" w:eastAsia="Candara" w:hAnsi="Candara" w:cs="Candara"/>
          <w:b/>
          <w:bCs/>
          <w:sz w:val="22"/>
          <w:szCs w:val="22"/>
        </w:rPr>
        <w:t xml:space="preserve"> (MENORES DE EDAD)</w:t>
      </w:r>
    </w:p>
    <w:p w14:paraId="2441AC5D" w14:textId="77777777" w:rsidR="00837513" w:rsidRPr="00412B79" w:rsidRDefault="00837513" w:rsidP="00837513">
      <w:pPr>
        <w:spacing w:line="257" w:lineRule="auto"/>
      </w:pPr>
      <w:r w:rsidRPr="09C45A0F">
        <w:rPr>
          <w:rFonts w:ascii="Candara" w:eastAsia="Candara" w:hAnsi="Candara" w:cs="Candara"/>
          <w:sz w:val="22"/>
          <w:szCs w:val="22"/>
        </w:rPr>
        <w:t xml:space="preserve">La COVID-19 es la enfermedad causada por el coronavirus, se transmite principalmente de persona a persona a través de gotitas respiratorias, se ha reportado una amplia variedad de síntomas es una enfermedad altamente contagiosa, y que ha producido la muerte de millones de personas en todo el mundo, ha afectado tanto a mujeres como hombres y en todas las edades. </w:t>
      </w:r>
    </w:p>
    <w:p w14:paraId="067E439B" w14:textId="77777777" w:rsidR="00837513" w:rsidRPr="00412B79" w:rsidRDefault="00837513" w:rsidP="00837513">
      <w:pPr>
        <w:spacing w:line="257" w:lineRule="auto"/>
      </w:pPr>
      <w:r w:rsidRPr="09C45A0F">
        <w:rPr>
          <w:rFonts w:ascii="Candara" w:eastAsia="Candara" w:hAnsi="Candara" w:cs="Candara"/>
          <w:sz w:val="22"/>
          <w:szCs w:val="22"/>
        </w:rPr>
        <w:t xml:space="preserve">Es importante que usted conozca que si tiene alguna de estas afecciones tiene riesgo de padecer enfermedad grave y potencialmente mortal por causa del COVID-19, esta lista incluye las enfermedades que más frecuentemente aumentan el riesgo, pero cada día podrían conocerse otras enfermedades que se adicionen a la lista: </w:t>
      </w:r>
    </w:p>
    <w:p w14:paraId="34F4404A"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Cáncer</w:t>
      </w:r>
    </w:p>
    <w:p w14:paraId="19532C74"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 renal crónica</w:t>
      </w:r>
    </w:p>
    <w:p w14:paraId="26DD2241"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 crónica del hígado</w:t>
      </w:r>
    </w:p>
    <w:p w14:paraId="0C77CF5D"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Enfermedades pulmonares crónicas</w:t>
      </w:r>
    </w:p>
    <w:p w14:paraId="6B5ADBA7"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Diabetes (tipo 1 o tipo 2)</w:t>
      </w:r>
    </w:p>
    <w:p w14:paraId="17A990B4"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Afecciones cardiacas</w:t>
      </w:r>
    </w:p>
    <w:p w14:paraId="5F2106C1"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Hipertensión arterial</w:t>
      </w:r>
    </w:p>
    <w:p w14:paraId="110D1141"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Personas inmunodeprimidas (sistema inmunitario debilitado)</w:t>
      </w:r>
    </w:p>
    <w:p w14:paraId="3D5B96BF"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Sobrepeso y obesidad</w:t>
      </w:r>
    </w:p>
    <w:p w14:paraId="7DB2F6B3"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Embarazo</w:t>
      </w:r>
    </w:p>
    <w:p w14:paraId="55AF1EA5"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Consumo de tabaco, actual o pasado</w:t>
      </w:r>
    </w:p>
    <w:p w14:paraId="3A379641"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Trasplante de órganos sólidos o células madre sanguíneas</w:t>
      </w:r>
    </w:p>
    <w:p w14:paraId="018C0E30"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Accidentes o enfermedades cerebrovasculares, que afectan el flujo sanguíneo hacia el cerebro</w:t>
      </w:r>
    </w:p>
    <w:p w14:paraId="7509015B"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Trastornos por uso de sustancias</w:t>
      </w:r>
    </w:p>
    <w:p w14:paraId="7585E98E"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Tuberculosis</w:t>
      </w:r>
    </w:p>
    <w:p w14:paraId="2D5DEEBD"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Problemas de salud mental</w:t>
      </w:r>
    </w:p>
    <w:p w14:paraId="079C8FC5" w14:textId="77777777" w:rsidR="00837513" w:rsidRPr="00412B79" w:rsidRDefault="00837513" w:rsidP="00837513">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Tener trastornos del estado de ánimo, incluida la depresión, y trastornos del espectro de la esquizofrenia puede aumentar su probabilidad de enfermarse gravemente a causa del COVID-19.</w:t>
      </w:r>
    </w:p>
    <w:p w14:paraId="1C443A81" w14:textId="77777777" w:rsidR="00837513" w:rsidRPr="00412B79" w:rsidRDefault="00837513" w:rsidP="00837513">
      <w:pPr>
        <w:spacing w:line="257" w:lineRule="auto"/>
      </w:pPr>
      <w:hyperlink r:id="rId7">
        <w:r w:rsidRPr="09C45A0F">
          <w:rPr>
            <w:rStyle w:val="Hipervnculo"/>
            <w:rFonts w:ascii="Candara" w:eastAsia="Candara" w:hAnsi="Candara" w:cs="Candara"/>
            <w:sz w:val="22"/>
            <w:szCs w:val="22"/>
          </w:rPr>
          <w:t>Los adultos mayores</w:t>
        </w:r>
      </w:hyperlink>
      <w:r w:rsidRPr="09C45A0F">
        <w:rPr>
          <w:rFonts w:ascii="Candara" w:eastAsia="Candara" w:hAnsi="Candara" w:cs="Candara"/>
          <w:sz w:val="22"/>
          <w:szCs w:val="22"/>
        </w:rPr>
        <w:t xml:space="preserve"> tienen mayor probabilidad de enfermarse gravemente a causa del COVID-19. Más del 81 % de las muertes por COVID-19 ocurre en personas de más de 65 años. La cantidad de muertes entre personas mayores de 65 años es 80 veces mayor que la cantidad de muertes entre personas de 18 a 29 años.  (Centro para el Control y Prevención de las Enfermedades CDC, 2021) </w:t>
      </w:r>
    </w:p>
    <w:p w14:paraId="00853AB6" w14:textId="77777777" w:rsidR="00837513" w:rsidRPr="00412B79" w:rsidRDefault="00837513" w:rsidP="00837513">
      <w:pPr>
        <w:spacing w:line="257" w:lineRule="auto"/>
      </w:pPr>
      <w:r w:rsidRPr="09C45A0F">
        <w:rPr>
          <w:rFonts w:ascii="Candara" w:eastAsia="Candara" w:hAnsi="Candara" w:cs="Candara"/>
          <w:sz w:val="22"/>
          <w:szCs w:val="22"/>
        </w:rPr>
        <w:t>El riesgo de enfermarse gravemente a causa del COVID-19 aumenta cuantas más afecciones subyacentes tiene una persona.</w:t>
      </w:r>
    </w:p>
    <w:p w14:paraId="122A1569" w14:textId="77777777" w:rsidR="00837513" w:rsidRPr="00412B79" w:rsidRDefault="00837513" w:rsidP="00837513">
      <w:pPr>
        <w:spacing w:line="257" w:lineRule="auto"/>
      </w:pPr>
      <w:r w:rsidRPr="09C45A0F">
        <w:rPr>
          <w:rFonts w:ascii="Candara" w:eastAsia="Candara" w:hAnsi="Candara" w:cs="Candara"/>
          <w:sz w:val="22"/>
          <w:szCs w:val="22"/>
        </w:rPr>
        <w:t xml:space="preserve">A medida que el virus ha ido propagándose, también se han conformado nuevas variantes, lo que representa un reto para la contención de la pandemia en el mundo, las variantes son esperables ya que los virus cambian constantemente. En este momento se conoce que la variante delta es mucho más contagiosa y se propaga más fácilmente que las primeras formas del virus, esta variante también circula en Costa Rica por lo que hay mayor riesgo de contagio que cuando no circulaba. </w:t>
      </w:r>
    </w:p>
    <w:p w14:paraId="738426F2" w14:textId="77777777" w:rsidR="00837513" w:rsidRPr="00412B79" w:rsidRDefault="00837513" w:rsidP="00837513">
      <w:pPr>
        <w:spacing w:line="257" w:lineRule="auto"/>
      </w:pPr>
      <w:r w:rsidRPr="09C45A0F">
        <w:rPr>
          <w:rFonts w:ascii="Candara" w:eastAsia="Candara" w:hAnsi="Candara" w:cs="Candara"/>
          <w:sz w:val="22"/>
          <w:szCs w:val="22"/>
        </w:rPr>
        <w:t xml:space="preserve"> A causa de todo esto, en todo el mundo se han implementado medidas de prevención, entre ellas el uso de mascarilla, el distanciamiento físico y social, y la vacunación. Es importante que usted conozca 3 hechos importantes relacionados con las vacunas</w:t>
      </w:r>
    </w:p>
    <w:p w14:paraId="2FD71A66" w14:textId="77777777" w:rsidR="00837513" w:rsidRPr="00412B79" w:rsidRDefault="00837513" w:rsidP="00837513">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lastRenderedPageBreak/>
        <w:t xml:space="preserve">Las vacunas contra el COVID-19 se desarrollaron con base en el conocimiento científico que se ha desarrollado durante décadas. </w:t>
      </w:r>
    </w:p>
    <w:p w14:paraId="6A1C7C51" w14:textId="77777777" w:rsidR="00837513" w:rsidRPr="00412B79" w:rsidRDefault="00837513" w:rsidP="00837513">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t>Las vacunas contra el COVID-19 son seguras, mucho más seguras que enfermarse de COVID-19.</w:t>
      </w:r>
    </w:p>
    <w:p w14:paraId="61DA1148" w14:textId="77777777" w:rsidR="00837513" w:rsidRPr="00412B79" w:rsidRDefault="00837513" w:rsidP="00837513">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t>Las vacunas contra el COVID-19 son efectivas para prevenir enfermarse gravemente a causa del COVID-19 y para limitar la propagación del virus que lo causa.</w:t>
      </w:r>
      <w:hyperlink r:id="rId8" w:anchor="_ftn1">
        <w:r w:rsidRPr="09C45A0F">
          <w:rPr>
            <w:rStyle w:val="Hipervnculo"/>
            <w:rFonts w:ascii="Candara" w:eastAsia="Candara" w:hAnsi="Candara" w:cs="Candara"/>
            <w:sz w:val="22"/>
            <w:szCs w:val="22"/>
            <w:vertAlign w:val="superscript"/>
          </w:rPr>
          <w:t>[1]</w:t>
        </w:r>
      </w:hyperlink>
    </w:p>
    <w:p w14:paraId="05D5D98A" w14:textId="77777777" w:rsidR="00837513" w:rsidRPr="00412B79" w:rsidRDefault="00837513" w:rsidP="00837513">
      <w:r w:rsidRPr="09C45A0F">
        <w:rPr>
          <w:rFonts w:ascii="Candara" w:eastAsia="Candara" w:hAnsi="Candara" w:cs="Candara"/>
          <w:color w:val="000000" w:themeColor="text1"/>
          <w:sz w:val="22"/>
          <w:szCs w:val="22"/>
        </w:rPr>
        <w:t xml:space="preserve"> </w:t>
      </w:r>
    </w:p>
    <w:p w14:paraId="78074990" w14:textId="77777777" w:rsidR="00837513" w:rsidRPr="00412B79" w:rsidRDefault="00837513" w:rsidP="00837513">
      <w:r w:rsidRPr="09C45A0F">
        <w:rPr>
          <w:rFonts w:ascii="Candara" w:eastAsia="Candara" w:hAnsi="Candara" w:cs="Candara"/>
          <w:color w:val="000000" w:themeColor="text1"/>
          <w:sz w:val="22"/>
          <w:szCs w:val="22"/>
        </w:rPr>
        <w:t xml:space="preserve">Bajo el siguiente fundamento jurídico el estado costarricense puso a disposición las vacunas contra la COVID-19 y las mismas son seguras y eficaces para prevenir contagios, enfermedad grave, hospitalización y muerte: </w:t>
      </w:r>
    </w:p>
    <w:p w14:paraId="4A9E0FA0" w14:textId="77777777" w:rsidR="00837513" w:rsidRPr="00412B79" w:rsidRDefault="00837513" w:rsidP="00837513">
      <w:r w:rsidRPr="09C45A0F">
        <w:rPr>
          <w:rFonts w:ascii="Candara" w:eastAsia="Candara" w:hAnsi="Candara" w:cs="Candara"/>
          <w:color w:val="000000" w:themeColor="text1"/>
          <w:sz w:val="22"/>
          <w:szCs w:val="22"/>
        </w:rPr>
        <w:t xml:space="preserve"> </w:t>
      </w:r>
    </w:p>
    <w:p w14:paraId="2CCA3FC6"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Artículos 21 y 50 de la Constitución Política regulan los derechos fundamentales a la vida y salud de las personas, así como el bienestar de la población, que se constituyen en bienes jurídicos de interés público que el Estado está obligado a proteger, mediante la adopción de medidas que les defiendan de toda amenaza o peligro. </w:t>
      </w:r>
    </w:p>
    <w:p w14:paraId="65FD4FD1" w14:textId="77777777" w:rsidR="00837513" w:rsidRPr="00412B79" w:rsidRDefault="00837513" w:rsidP="00837513">
      <w:r w:rsidRPr="09C45A0F">
        <w:rPr>
          <w:rFonts w:ascii="Candara" w:eastAsia="Candara" w:hAnsi="Candara" w:cs="Candara"/>
          <w:color w:val="000000" w:themeColor="text1"/>
          <w:sz w:val="22"/>
          <w:szCs w:val="22"/>
        </w:rPr>
        <w:t xml:space="preserve"> </w:t>
      </w:r>
    </w:p>
    <w:p w14:paraId="41EBEA4E"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Artículos 1, 4, 6, 7, 337, 338, 340, 341, 355 y 356 de la Ley General de Salud, Ley 5395 del 30 de octubre de 1973, y 2 inciso b) y c) y 57 de la Ley Orgánica del Ministerio de Salud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5412, del 08 de noviembre de 1973, regulan esa obligación de protección de los bienes jurídicos de la vida y la salud pública por parte del Poder Ejecutivo, a través del Ministerio de Salud. Particularmente, la salud de la población es un bien de interés público tutelado por el Estado, y que las leyes, reglamentos y disposiciones administrativas relativas a la salud son de orden público, por lo que en caso de conflicto prevalecen sobre cualesquiera otras disposiciones de igual validez formal. </w:t>
      </w:r>
    </w:p>
    <w:p w14:paraId="128882F6"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 46 de la Ley No. 63 de 28 de setiembre de 1887, Código Civil; </w:t>
      </w:r>
    </w:p>
    <w:p w14:paraId="1A14DBEE"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Ley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8111 del 18 de julio de 2001, Ley Nacional de Vacunación; </w:t>
      </w:r>
    </w:p>
    <w:p w14:paraId="2D45F4A8" w14:textId="77777777" w:rsidR="00837513" w:rsidRPr="00412B79" w:rsidRDefault="00837513" w:rsidP="00837513">
      <w:pPr>
        <w:pStyle w:val="Prrafodelista"/>
        <w:numPr>
          <w:ilvl w:val="0"/>
          <w:numId w:val="2"/>
        </w:numPr>
        <w:rPr>
          <w:rFonts w:asciiTheme="minorHAnsi" w:eastAsiaTheme="minorEastAsia" w:hAnsiTheme="minorHAnsi"/>
          <w:szCs w:val="20"/>
        </w:rPr>
      </w:pPr>
      <w:r w:rsidRPr="09C45A0F">
        <w:rPr>
          <w:rFonts w:ascii="Calibri" w:eastAsia="Calibri" w:hAnsi="Calibri" w:cs="Calibri"/>
          <w:szCs w:val="20"/>
        </w:rPr>
        <w:t xml:space="preserve">Decreto Ejecutivo </w:t>
      </w:r>
      <w:proofErr w:type="spellStart"/>
      <w:r w:rsidRPr="09C45A0F">
        <w:rPr>
          <w:rFonts w:ascii="Calibri" w:eastAsia="Calibri" w:hAnsi="Calibri" w:cs="Calibri"/>
          <w:szCs w:val="20"/>
        </w:rPr>
        <w:t>N°</w:t>
      </w:r>
      <w:proofErr w:type="spellEnd"/>
      <w:r w:rsidRPr="09C45A0F">
        <w:rPr>
          <w:rFonts w:ascii="Calibri" w:eastAsia="Calibri" w:hAnsi="Calibri" w:cs="Calibri"/>
          <w:szCs w:val="20"/>
        </w:rPr>
        <w:t xml:space="preserve"> 32722-S del 20 de mayo de 2005, Reglamento a la Ley</w:t>
      </w:r>
      <w:r w:rsidRPr="09C45A0F">
        <w:rPr>
          <w:rFonts w:ascii="Calibri" w:eastAsia="Calibri" w:hAnsi="Calibri" w:cs="Calibri"/>
          <w:sz w:val="22"/>
          <w:szCs w:val="22"/>
        </w:rPr>
        <w:t xml:space="preserve"> Nacional de Vacunación; </w:t>
      </w:r>
    </w:p>
    <w:p w14:paraId="6FC79789"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Decreto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42227-MP-S del 16 de marzo de 2020, Declara estado de emergencia nacional todo el territorio nacional de la República de Costa Rica debido a la situación de emergencia sanitaria provocada por la enfermedad COVID-19; </w:t>
      </w:r>
    </w:p>
    <w:p w14:paraId="570D600C"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Que, con fundamento en lo anterior, el Ministerio de Salud es la autoridad competente para ordenar y tomar las medidas especiales para evitar el riesgo o daño a la salud de las personas, o que estos se difundan o agraven, así como para inhibir la continuación o reincidencia en la infracción de los particulares. Dichas normas legales que establecen la competencia del Ministerio de Salud en materia de salud consagran la potestad de imperio en materia sanitaria, que le faculta para dictar todas las medidas técnicas que sean necesarias para enfrentar y resolver los estados de emergencia sanitarios. </w:t>
      </w:r>
    </w:p>
    <w:p w14:paraId="372AA12C" w14:textId="77777777" w:rsidR="00837513" w:rsidRPr="00412B79" w:rsidRDefault="00837513" w:rsidP="00837513">
      <w:pPr>
        <w:spacing w:line="257" w:lineRule="auto"/>
      </w:pPr>
      <w:r w:rsidRPr="09C45A0F">
        <w:rPr>
          <w:rFonts w:ascii="Candara" w:eastAsia="Candara" w:hAnsi="Candara" w:cs="Candara"/>
          <w:sz w:val="22"/>
          <w:szCs w:val="22"/>
        </w:rPr>
        <w:t xml:space="preserve"> </w:t>
      </w:r>
    </w:p>
    <w:p w14:paraId="7975F5A4"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Que corresponde al Poder Ejecutivo por medio del Ministerio de Salud, la definición de la política nacional de salud, la formación, planificación y coordinación de todas las actividades públicas y privadas relativas a salud, así como la ejecución de aquellas actividades que le competen conforme a la ley. Por las funciones encomendadas al Ministerio de Salud y sus potestades policiales en materia de salud pública, debe efectuar la vigilancia y evaluar la situación de salud de la población cuando esté en riesgo. Ello implica la facultad para obligar a las personas a acatar las disposiciones normativas que emita para mantener el bienestar común de la población y la preservación del orden público en materia de salubridad. </w:t>
      </w:r>
    </w:p>
    <w:p w14:paraId="3D5D7A8E" w14:textId="77777777" w:rsidR="00837513" w:rsidRPr="00412B79" w:rsidRDefault="00837513" w:rsidP="00837513">
      <w:r w:rsidRPr="09C45A0F">
        <w:rPr>
          <w:rFonts w:ascii="Candara" w:eastAsia="Candara" w:hAnsi="Candara" w:cs="Candara"/>
          <w:color w:val="000000" w:themeColor="text1"/>
          <w:sz w:val="22"/>
          <w:szCs w:val="22"/>
        </w:rPr>
        <w:t xml:space="preserve"> </w:t>
      </w:r>
    </w:p>
    <w:p w14:paraId="46337BAB" w14:textId="77777777" w:rsidR="00837513" w:rsidRPr="00412B79" w:rsidRDefault="00837513" w:rsidP="00837513">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lastRenderedPageBreak/>
        <w:t xml:space="preserve">Que las autoridades están obligadas a aplicar el principio de precaución en materia sanitaria en el sentido de que deben tomar las medidas preventivas que fueren necesarias para evitar daños graves o irreparables a la salud de los habitantes. </w:t>
      </w:r>
    </w:p>
    <w:p w14:paraId="401C200B" w14:textId="77777777" w:rsidR="00837513" w:rsidRPr="00412B79" w:rsidRDefault="00837513" w:rsidP="00837513">
      <w:r w:rsidRPr="09C45A0F">
        <w:rPr>
          <w:rFonts w:ascii="Candara" w:eastAsia="Candara" w:hAnsi="Candara" w:cs="Candara"/>
          <w:color w:val="000000" w:themeColor="text1"/>
          <w:sz w:val="22"/>
          <w:szCs w:val="22"/>
        </w:rPr>
        <w:t xml:space="preserve"> </w:t>
      </w:r>
    </w:p>
    <w:p w14:paraId="1206266F" w14:textId="77777777" w:rsidR="00837513" w:rsidRPr="00412B79" w:rsidRDefault="00837513" w:rsidP="00837513">
      <w:pPr>
        <w:spacing w:line="257" w:lineRule="auto"/>
      </w:pPr>
      <w:r w:rsidRPr="09C45A0F">
        <w:rPr>
          <w:rFonts w:ascii="Candara" w:eastAsia="Candara" w:hAnsi="Candara" w:cs="Candara"/>
          <w:sz w:val="22"/>
          <w:szCs w:val="22"/>
        </w:rPr>
        <w:t xml:space="preserve">Después de haber leído todo lo anterior, usted debe comprender que al no contar con la vacunación contra la COVID-19 existe un riesgo importante de contagiarse y que, si sumado a esto padece de alguna enfermedad, aumenta exponencialmente el riesgo de que al contagiarse pueda enfermar gravemente y morir. </w:t>
      </w:r>
    </w:p>
    <w:p w14:paraId="10FD1B09" w14:textId="77777777" w:rsidR="00837513" w:rsidRPr="00412B79" w:rsidRDefault="00837513" w:rsidP="00837513">
      <w:pPr>
        <w:spacing w:line="257" w:lineRule="auto"/>
      </w:pPr>
      <w:r w:rsidRPr="09C45A0F">
        <w:rPr>
          <w:rFonts w:ascii="Candara" w:eastAsia="Candara" w:hAnsi="Candara" w:cs="Candara"/>
          <w:sz w:val="22"/>
          <w:szCs w:val="22"/>
        </w:rPr>
        <w:t xml:space="preserve">Además, debe comprender lo siguiente: </w:t>
      </w:r>
    </w:p>
    <w:p w14:paraId="5902F046"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Ministerio de Salud analizará su documentación y si todo es consecuente le emitirá un certificado en el cual hará constar que usted tiene una contraindicación médica suficientemente válida para no vacunarse, este certificado indicará además que usted no tiene dosis de vacuna contra COVID-19 aplicadas, también se le mostrará un código QR válido. </w:t>
      </w:r>
    </w:p>
    <w:p w14:paraId="60C89C9F"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Si la documentación aportada no es consecuente o no cumple con lo establecido en este procedimiento, el Ministerio de Salud podrá rechazarle el trámite, de ser así le será comunicado a través del correo electrónico aportado. </w:t>
      </w:r>
    </w:p>
    <w:p w14:paraId="0B2D6EE2"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certificado es válido en Costa Rica y el Ministerio de Salud no se hace responsable por el no reconocimiento o que no sea validado por autoridades fuera del país. </w:t>
      </w:r>
    </w:p>
    <w:p w14:paraId="690395E3"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certificado emitido no expondrá información sensible, o confidencial en el código QR. Los datos consignados en el mismo son públicos como nombre apellidos y fecha de nacimiento. </w:t>
      </w:r>
    </w:p>
    <w:p w14:paraId="499A11BC"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documento si hará referencia general sobre que existe una contraindicación médica pero no especificará cuál ni los diagnósticos asociados a la misma. </w:t>
      </w:r>
    </w:p>
    <w:p w14:paraId="36A74532"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Ministerio de Salud no se hace responsable por lo que decidan los establecimientos privados que se reservan su derecho de admisión por lo emitido en este certificado. </w:t>
      </w:r>
    </w:p>
    <w:p w14:paraId="4A165838"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certificado se emite bajo la responsabilidad del Médico que realizó certificó las contraindicaciones para recibir la vacuna. </w:t>
      </w:r>
    </w:p>
    <w:p w14:paraId="56433A01"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La revisión de su documentación tiene un tiempo de 22 días naturales para emitirle una resolución, en caso de que se requieran aclaraciones o documentación adicional el Ministerio de Salud estará previniéndole mediante el correo electrónico que proporcionó en el formulario en línea, y el trámite completo tendrá un tiempo máximo de respuesta de 30 días naturales. </w:t>
      </w:r>
    </w:p>
    <w:p w14:paraId="6C151426"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documento debidamente firmado hace constar que usted comprende todo lo anterior expuesto, y que además forma parte de los requisitos para emitirle un certificado de vacunación COVID-19 bajo contraindicación médica. </w:t>
      </w:r>
    </w:p>
    <w:p w14:paraId="7FB2E332"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Si usted tiene más dudas a raíz de esta lectura puede enviar un correo </w:t>
      </w:r>
      <w:hyperlink r:id="rId9">
        <w:r w:rsidRPr="09C45A0F">
          <w:rPr>
            <w:rStyle w:val="Hipervnculo"/>
            <w:rFonts w:ascii="Candara" w:eastAsia="Candara" w:hAnsi="Candara" w:cs="Candara"/>
            <w:szCs w:val="20"/>
          </w:rPr>
          <w:t>certificado.sinvacuna@misalud.go.cr</w:t>
        </w:r>
      </w:hyperlink>
      <w:r w:rsidRPr="09C45A0F">
        <w:rPr>
          <w:rFonts w:ascii="Candara" w:eastAsia="Candara" w:hAnsi="Candara" w:cs="Candara"/>
          <w:szCs w:val="20"/>
        </w:rPr>
        <w:t xml:space="preserve"> para intentar aclararle de la mejor forma posible antes de proceder a firmarlo. </w:t>
      </w:r>
    </w:p>
    <w:p w14:paraId="0CC2FCDD" w14:textId="77777777" w:rsidR="00837513" w:rsidRPr="00412B79" w:rsidRDefault="00837513" w:rsidP="00837513">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documento es parte de los requisitos que debe presentar y para que sea válido debe estar firmado ya sea digitalmente o con firma física (lapicero) </w:t>
      </w:r>
    </w:p>
    <w:p w14:paraId="2F6B5BF7" w14:textId="77777777" w:rsidR="00837513" w:rsidRDefault="00837513" w:rsidP="00837513">
      <w:pPr>
        <w:spacing w:line="257" w:lineRule="auto"/>
      </w:pPr>
      <w:r w:rsidRPr="09C45A0F">
        <w:rPr>
          <w:rFonts w:ascii="Candara" w:eastAsia="Candara" w:hAnsi="Candara" w:cs="Candara"/>
          <w:sz w:val="22"/>
          <w:szCs w:val="22"/>
        </w:rPr>
        <w:t xml:space="preserve"> </w:t>
      </w:r>
    </w:p>
    <w:p w14:paraId="3BCAE732" w14:textId="77777777" w:rsidR="00837513" w:rsidRDefault="00837513" w:rsidP="00837513">
      <w:pPr>
        <w:spacing w:line="257" w:lineRule="auto"/>
        <w:rPr>
          <w:rFonts w:ascii="Candara" w:eastAsia="Candara" w:hAnsi="Candara" w:cs="Candara"/>
          <w:sz w:val="22"/>
          <w:szCs w:val="22"/>
        </w:rPr>
      </w:pPr>
    </w:p>
    <w:p w14:paraId="0C2A104F" w14:textId="77777777" w:rsidR="00837513" w:rsidRDefault="00837513" w:rsidP="00837513">
      <w:pPr>
        <w:spacing w:line="257" w:lineRule="auto"/>
        <w:rPr>
          <w:rFonts w:ascii="Candara" w:eastAsia="Candara" w:hAnsi="Candara" w:cs="Candara"/>
          <w:sz w:val="22"/>
          <w:szCs w:val="22"/>
        </w:rPr>
      </w:pPr>
    </w:p>
    <w:p w14:paraId="225BC181" w14:textId="77777777" w:rsidR="00837513" w:rsidRDefault="00837513" w:rsidP="00837513">
      <w:pPr>
        <w:spacing w:line="257" w:lineRule="auto"/>
        <w:rPr>
          <w:rFonts w:ascii="Candara" w:eastAsia="Candara" w:hAnsi="Candara" w:cs="Candara"/>
          <w:sz w:val="22"/>
          <w:szCs w:val="22"/>
        </w:rPr>
      </w:pPr>
    </w:p>
    <w:p w14:paraId="70AA674A" w14:textId="77777777" w:rsidR="00837513" w:rsidRDefault="00837513" w:rsidP="00837513">
      <w:pPr>
        <w:spacing w:line="257" w:lineRule="auto"/>
        <w:rPr>
          <w:rFonts w:ascii="Candara" w:eastAsia="Candara" w:hAnsi="Candara" w:cs="Candara"/>
          <w:sz w:val="22"/>
          <w:szCs w:val="22"/>
        </w:rPr>
      </w:pPr>
    </w:p>
    <w:p w14:paraId="1ED7885E" w14:textId="77777777" w:rsidR="00837513" w:rsidRDefault="00837513" w:rsidP="00837513">
      <w:pPr>
        <w:spacing w:line="257" w:lineRule="auto"/>
        <w:rPr>
          <w:rFonts w:ascii="Candara" w:eastAsia="Candara" w:hAnsi="Candara" w:cs="Candara"/>
          <w:sz w:val="22"/>
          <w:szCs w:val="22"/>
        </w:rPr>
      </w:pPr>
    </w:p>
    <w:p w14:paraId="3F9093AE" w14:textId="77777777" w:rsidR="00837513" w:rsidRDefault="00837513" w:rsidP="00837513">
      <w:pPr>
        <w:spacing w:line="257" w:lineRule="auto"/>
        <w:rPr>
          <w:rFonts w:ascii="Candara" w:eastAsia="Candara" w:hAnsi="Candara" w:cs="Candara"/>
          <w:sz w:val="22"/>
          <w:szCs w:val="22"/>
        </w:rPr>
      </w:pPr>
    </w:p>
    <w:p w14:paraId="12541DEC" w14:textId="77777777" w:rsidR="00837513" w:rsidRDefault="00837513" w:rsidP="00837513">
      <w:pPr>
        <w:spacing w:line="257" w:lineRule="auto"/>
        <w:rPr>
          <w:rFonts w:ascii="Candara" w:eastAsia="Candara" w:hAnsi="Candara" w:cs="Candara"/>
          <w:sz w:val="22"/>
          <w:szCs w:val="22"/>
        </w:rPr>
      </w:pPr>
    </w:p>
    <w:p w14:paraId="402B6847" w14:textId="77777777" w:rsidR="00837513" w:rsidRDefault="00837513" w:rsidP="00837513">
      <w:pPr>
        <w:spacing w:line="257" w:lineRule="auto"/>
        <w:rPr>
          <w:rFonts w:ascii="Candara" w:eastAsia="Candara" w:hAnsi="Candara" w:cs="Candara"/>
          <w:sz w:val="22"/>
          <w:szCs w:val="22"/>
        </w:rPr>
      </w:pPr>
    </w:p>
    <w:p w14:paraId="763A7C75" w14:textId="77777777" w:rsidR="00837513" w:rsidRDefault="00837513" w:rsidP="00837513">
      <w:pPr>
        <w:spacing w:line="257" w:lineRule="auto"/>
        <w:rPr>
          <w:rFonts w:ascii="Candara" w:eastAsia="Candara" w:hAnsi="Candara" w:cs="Candara"/>
          <w:sz w:val="22"/>
          <w:szCs w:val="22"/>
        </w:rPr>
      </w:pPr>
    </w:p>
    <w:p w14:paraId="03B2CC66" w14:textId="77777777" w:rsidR="00837513" w:rsidRDefault="00837513" w:rsidP="00837513">
      <w:pPr>
        <w:spacing w:line="257" w:lineRule="auto"/>
        <w:rPr>
          <w:rFonts w:ascii="Candara" w:eastAsia="Candara" w:hAnsi="Candara" w:cs="Candara"/>
          <w:sz w:val="22"/>
          <w:szCs w:val="22"/>
        </w:rPr>
      </w:pPr>
    </w:p>
    <w:p w14:paraId="361C9D50" w14:textId="77777777" w:rsidR="00837513" w:rsidRDefault="00837513" w:rsidP="00837513">
      <w:pPr>
        <w:spacing w:line="257" w:lineRule="auto"/>
        <w:rPr>
          <w:rFonts w:ascii="Candara" w:eastAsia="Candara" w:hAnsi="Candara" w:cs="Candara"/>
          <w:sz w:val="22"/>
          <w:szCs w:val="22"/>
        </w:rPr>
      </w:pPr>
    </w:p>
    <w:p w14:paraId="6322A989" w14:textId="77777777" w:rsidR="00837513" w:rsidRDefault="00837513" w:rsidP="00837513">
      <w:pPr>
        <w:spacing w:line="257" w:lineRule="auto"/>
        <w:rPr>
          <w:rFonts w:ascii="Candara" w:eastAsia="Candara" w:hAnsi="Candara" w:cs="Candara"/>
          <w:sz w:val="22"/>
          <w:szCs w:val="22"/>
        </w:rPr>
      </w:pPr>
    </w:p>
    <w:p w14:paraId="44B3D69E" w14:textId="02CBE527" w:rsidR="00837513" w:rsidRPr="00412B79" w:rsidRDefault="00837513" w:rsidP="00837513">
      <w:pPr>
        <w:spacing w:line="257" w:lineRule="auto"/>
      </w:pPr>
      <w:r w:rsidRPr="09C45A0F">
        <w:rPr>
          <w:rFonts w:ascii="Candara" w:eastAsia="Candara" w:hAnsi="Candara" w:cs="Candara"/>
          <w:sz w:val="22"/>
          <w:szCs w:val="22"/>
        </w:rPr>
        <w:t xml:space="preserve">Completar lo siguiente y firmar: </w:t>
      </w:r>
    </w:p>
    <w:p w14:paraId="423D349B" w14:textId="77777777" w:rsidR="00837513" w:rsidRDefault="00837513" w:rsidP="00837513">
      <w:pPr>
        <w:rPr>
          <w:rFonts w:ascii="Calibri" w:eastAsia="Calibri" w:hAnsi="Calibri" w:cs="Calibri"/>
          <w:sz w:val="22"/>
          <w:szCs w:val="22"/>
        </w:rPr>
      </w:pPr>
    </w:p>
    <w:p w14:paraId="4117E38B" w14:textId="77777777" w:rsidR="00837513" w:rsidRPr="00412B79" w:rsidRDefault="00837513" w:rsidP="00837513">
      <w:r w:rsidRPr="09C45A0F">
        <w:rPr>
          <w:rFonts w:ascii="Calibri" w:eastAsia="Calibri" w:hAnsi="Calibri" w:cs="Calibri"/>
          <w:sz w:val="22"/>
          <w:szCs w:val="22"/>
        </w:rPr>
        <w:t>Mediante el presente (Nombre): __________________________ Apellido: ____________________</w:t>
      </w:r>
    </w:p>
    <w:p w14:paraId="4C811F0A" w14:textId="77777777" w:rsidR="00837513" w:rsidRPr="00412B79" w:rsidRDefault="00837513" w:rsidP="00837513">
      <w:r w:rsidRPr="09C45A0F">
        <w:rPr>
          <w:rFonts w:ascii="Calibri" w:eastAsia="Calibri" w:hAnsi="Calibri" w:cs="Calibri"/>
          <w:sz w:val="22"/>
          <w:szCs w:val="22"/>
        </w:rPr>
        <w:t>Apellido: _________________________ Número de identificación: ________________________</w:t>
      </w:r>
    </w:p>
    <w:p w14:paraId="1090B0C8" w14:textId="77777777" w:rsidR="00837513" w:rsidRDefault="00837513" w:rsidP="00837513">
      <w:pPr>
        <w:rPr>
          <w:rFonts w:ascii="Calibri" w:eastAsia="Calibri" w:hAnsi="Calibri" w:cs="Calibri"/>
          <w:sz w:val="22"/>
          <w:szCs w:val="22"/>
        </w:rPr>
      </w:pPr>
      <w:r w:rsidRPr="09C45A0F">
        <w:rPr>
          <w:rFonts w:ascii="Calibri" w:eastAsia="Calibri" w:hAnsi="Calibri" w:cs="Calibri"/>
          <w:sz w:val="22"/>
          <w:szCs w:val="22"/>
        </w:rPr>
        <w:t>Vecino de (Provincia): __________________ (Cantón</w:t>
      </w:r>
      <w:proofErr w:type="gramStart"/>
      <w:r w:rsidRPr="09C45A0F">
        <w:rPr>
          <w:rFonts w:ascii="Calibri" w:eastAsia="Calibri" w:hAnsi="Calibri" w:cs="Calibri"/>
          <w:sz w:val="22"/>
          <w:szCs w:val="22"/>
        </w:rPr>
        <w:t>):_</w:t>
      </w:r>
      <w:proofErr w:type="gramEnd"/>
      <w:r w:rsidRPr="09C45A0F">
        <w:rPr>
          <w:rFonts w:ascii="Calibri" w:eastAsia="Calibri" w:hAnsi="Calibri" w:cs="Calibri"/>
          <w:sz w:val="22"/>
          <w:szCs w:val="22"/>
        </w:rPr>
        <w:t>_______________________ Distrito:_________________ Otras señas:______________________________________________</w:t>
      </w:r>
    </w:p>
    <w:p w14:paraId="19DA9C96" w14:textId="77777777" w:rsidR="00837513" w:rsidRDefault="00837513" w:rsidP="00837513">
      <w:pPr>
        <w:rPr>
          <w:rFonts w:ascii="Calibri" w:eastAsia="Calibri" w:hAnsi="Calibri" w:cs="Calibri"/>
          <w:sz w:val="22"/>
          <w:szCs w:val="22"/>
        </w:rPr>
      </w:pPr>
    </w:p>
    <w:p w14:paraId="72B5D53F" w14:textId="77777777" w:rsidR="00837513" w:rsidRDefault="00837513" w:rsidP="00837513">
      <w:pPr>
        <w:rPr>
          <w:rFonts w:ascii="Calibri" w:eastAsia="Calibri" w:hAnsi="Calibri" w:cs="Calibri"/>
          <w:sz w:val="22"/>
          <w:szCs w:val="22"/>
        </w:rPr>
      </w:pPr>
      <w:r>
        <w:rPr>
          <w:rFonts w:ascii="Calibri" w:eastAsia="Calibri" w:hAnsi="Calibri" w:cs="Calibri"/>
          <w:sz w:val="22"/>
          <w:szCs w:val="22"/>
        </w:rPr>
        <w:t xml:space="preserve">En calidad de tutor del menor de edad Nombre: _________________ </w:t>
      </w:r>
    </w:p>
    <w:p w14:paraId="44C2B8EA" w14:textId="77777777" w:rsidR="00837513" w:rsidRPr="00047756" w:rsidRDefault="00837513" w:rsidP="00837513">
      <w:pPr>
        <w:rPr>
          <w:rFonts w:ascii="Calibri" w:eastAsia="Calibri" w:hAnsi="Calibri" w:cs="Calibri"/>
          <w:sz w:val="22"/>
          <w:szCs w:val="22"/>
        </w:rPr>
      </w:pPr>
      <w:r>
        <w:rPr>
          <w:rFonts w:ascii="Calibri" w:eastAsia="Calibri" w:hAnsi="Calibri" w:cs="Calibri"/>
          <w:sz w:val="22"/>
          <w:szCs w:val="22"/>
        </w:rPr>
        <w:t xml:space="preserve">Apellido: __________________ </w:t>
      </w:r>
      <w:proofErr w:type="gramStart"/>
      <w:r>
        <w:rPr>
          <w:rFonts w:ascii="Calibri" w:eastAsia="Calibri" w:hAnsi="Calibri" w:cs="Calibri"/>
          <w:sz w:val="22"/>
          <w:szCs w:val="22"/>
        </w:rPr>
        <w:t>Apellido:_</w:t>
      </w:r>
      <w:proofErr w:type="gramEnd"/>
      <w:r>
        <w:rPr>
          <w:rFonts w:ascii="Calibri" w:eastAsia="Calibri" w:hAnsi="Calibri" w:cs="Calibri"/>
          <w:sz w:val="22"/>
          <w:szCs w:val="22"/>
        </w:rPr>
        <w:t>___________________________ Número de Identificación:_____________________</w:t>
      </w:r>
    </w:p>
    <w:p w14:paraId="7D3CB98D" w14:textId="77777777" w:rsidR="00837513" w:rsidRPr="00412B79" w:rsidRDefault="00837513" w:rsidP="00837513">
      <w:r w:rsidRPr="09C45A0F">
        <w:rPr>
          <w:rFonts w:ascii="Calibri" w:eastAsia="Calibri" w:hAnsi="Calibri" w:cs="Calibri"/>
          <w:sz w:val="22"/>
          <w:szCs w:val="22"/>
        </w:rPr>
        <w:t xml:space="preserve"> </w:t>
      </w:r>
    </w:p>
    <w:p w14:paraId="1DA7608B" w14:textId="77777777" w:rsidR="00837513" w:rsidRPr="00412B79" w:rsidRDefault="00837513" w:rsidP="00837513">
      <w:r w:rsidRPr="09C45A0F">
        <w:rPr>
          <w:rFonts w:ascii="Calibri" w:eastAsia="Calibri" w:hAnsi="Calibri" w:cs="Calibri"/>
          <w:sz w:val="22"/>
          <w:szCs w:val="22"/>
        </w:rPr>
        <w:t xml:space="preserve">Hago constar que he leído y comprendido con suficiente claridad todo lo expuesto en este documento y que utilizaré el certificado que se emita bajo mi responsabilidad.  </w:t>
      </w:r>
    </w:p>
    <w:p w14:paraId="392F73F6" w14:textId="77777777" w:rsidR="00837513" w:rsidRPr="00412B79" w:rsidRDefault="00837513" w:rsidP="00837513">
      <w:pPr>
        <w:spacing w:line="257" w:lineRule="auto"/>
      </w:pPr>
      <w:r w:rsidRPr="09C45A0F">
        <w:rPr>
          <w:rFonts w:ascii="Candara" w:eastAsia="Candara" w:hAnsi="Candara" w:cs="Candara"/>
          <w:sz w:val="22"/>
          <w:szCs w:val="22"/>
        </w:rPr>
        <w:t xml:space="preserve"> </w:t>
      </w:r>
    </w:p>
    <w:p w14:paraId="6C80786F" w14:textId="77777777" w:rsidR="00837513" w:rsidRPr="00412B79" w:rsidRDefault="00837513" w:rsidP="00837513">
      <w:pPr>
        <w:spacing w:line="257" w:lineRule="auto"/>
      </w:pPr>
      <w:r w:rsidRPr="09C45A0F">
        <w:rPr>
          <w:rFonts w:ascii="Candara" w:eastAsia="Candara" w:hAnsi="Candara" w:cs="Candara"/>
          <w:sz w:val="22"/>
          <w:szCs w:val="22"/>
        </w:rPr>
        <w:t xml:space="preserve">Firma:                                                                                             Fecha:    </w:t>
      </w:r>
      <w:proofErr w:type="spellStart"/>
      <w:r w:rsidRPr="09C45A0F">
        <w:rPr>
          <w:rFonts w:ascii="Candara" w:eastAsia="Candara" w:hAnsi="Candara" w:cs="Candara"/>
          <w:sz w:val="22"/>
          <w:szCs w:val="22"/>
        </w:rPr>
        <w:t>dd</w:t>
      </w:r>
      <w:proofErr w:type="spellEnd"/>
      <w:r w:rsidRPr="09C45A0F">
        <w:rPr>
          <w:rFonts w:ascii="Candara" w:eastAsia="Candara" w:hAnsi="Candara" w:cs="Candara"/>
          <w:sz w:val="22"/>
          <w:szCs w:val="22"/>
        </w:rPr>
        <w:t>/mm/</w:t>
      </w:r>
      <w:proofErr w:type="spellStart"/>
      <w:r w:rsidRPr="09C45A0F">
        <w:rPr>
          <w:rFonts w:ascii="Candara" w:eastAsia="Candara" w:hAnsi="Candara" w:cs="Candara"/>
          <w:sz w:val="22"/>
          <w:szCs w:val="22"/>
        </w:rPr>
        <w:t>aaaa</w:t>
      </w:r>
      <w:proofErr w:type="spellEnd"/>
    </w:p>
    <w:p w14:paraId="179932E3" w14:textId="77777777" w:rsidR="00837513" w:rsidRPr="00412B79" w:rsidRDefault="00837513" w:rsidP="00837513">
      <w:pPr>
        <w:spacing w:line="257" w:lineRule="auto"/>
      </w:pPr>
    </w:p>
    <w:p w14:paraId="6B41EBFB" w14:textId="77777777" w:rsidR="00837513" w:rsidRDefault="00837513" w:rsidP="00837513">
      <w:pPr>
        <w:rPr>
          <w:rFonts w:ascii="Calibri" w:eastAsia="Calibri" w:hAnsi="Calibri" w:cs="Calibri"/>
          <w:sz w:val="22"/>
          <w:szCs w:val="22"/>
        </w:rPr>
      </w:pPr>
      <w:r>
        <w:br/>
      </w:r>
      <w:r>
        <w:br/>
      </w:r>
    </w:p>
    <w:p w14:paraId="364D72D5" w14:textId="77777777" w:rsidR="00B223E9" w:rsidRDefault="00837513"/>
    <w:sectPr w:rsidR="00B223E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21B22" w14:textId="77777777" w:rsidR="00837513" w:rsidRDefault="00837513" w:rsidP="00837513">
      <w:r>
        <w:separator/>
      </w:r>
    </w:p>
  </w:endnote>
  <w:endnote w:type="continuationSeparator" w:id="0">
    <w:p w14:paraId="3D669A26" w14:textId="77777777" w:rsidR="00837513" w:rsidRDefault="00837513" w:rsidP="008375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Next LT Pro Light">
    <w:altName w:val="Avenir Next LT Pro Light"/>
    <w:charset w:val="00"/>
    <w:family w:val="swiss"/>
    <w:pitch w:val="variable"/>
    <w:sig w:usb0="A00000EF" w:usb1="5000204B" w:usb2="00000000" w:usb3="00000000" w:csb0="00000093"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6320492"/>
      <w:docPartObj>
        <w:docPartGallery w:val="Page Numbers (Bottom of Page)"/>
        <w:docPartUnique/>
      </w:docPartObj>
    </w:sdtPr>
    <w:sdtContent>
      <w:p w14:paraId="70EF025B" w14:textId="0380A2E4" w:rsidR="00837513" w:rsidRDefault="00837513">
        <w:pPr>
          <w:pStyle w:val="Piedepgina"/>
        </w:pPr>
        <w:r>
          <w:fldChar w:fldCharType="begin"/>
        </w:r>
        <w:r>
          <w:instrText>PAGE   \* MERGEFORMAT</w:instrText>
        </w:r>
        <w:r>
          <w:fldChar w:fldCharType="separate"/>
        </w:r>
        <w:r>
          <w:rPr>
            <w:lang w:val="es-ES"/>
          </w:rPr>
          <w:t>2</w:t>
        </w:r>
        <w:r>
          <w:fldChar w:fldCharType="end"/>
        </w:r>
      </w:p>
    </w:sdtContent>
  </w:sdt>
  <w:p w14:paraId="6B4068C9" w14:textId="77777777" w:rsidR="00837513" w:rsidRDefault="0083751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E67B8A" w14:textId="77777777" w:rsidR="00837513" w:rsidRDefault="00837513" w:rsidP="00837513">
      <w:r>
        <w:separator/>
      </w:r>
    </w:p>
  </w:footnote>
  <w:footnote w:type="continuationSeparator" w:id="0">
    <w:p w14:paraId="7C9F7E1C" w14:textId="77777777" w:rsidR="00837513" w:rsidRDefault="00837513" w:rsidP="008375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5B73EF"/>
    <w:multiLevelType w:val="multilevel"/>
    <w:tmpl w:val="59EE8A66"/>
    <w:lvl w:ilvl="0">
      <w:start w:val="1"/>
      <w:numFmt w:val="decimal"/>
      <w:pStyle w:val="Ttulo1"/>
      <w:lvlText w:val="%1."/>
      <w:lvlJc w:val="left"/>
      <w:pPr>
        <w:ind w:left="720" w:hanging="360"/>
      </w:pPr>
    </w:lvl>
    <w:lvl w:ilvl="1">
      <w:start w:val="1"/>
      <w:numFmt w:val="decimal"/>
      <w:isLgl/>
      <w:lvlText w:val="%1.%2"/>
      <w:lvlJc w:val="left"/>
      <w:pPr>
        <w:ind w:left="360" w:hanging="360"/>
      </w:pPr>
      <w:rPr>
        <w:rFonts w:hint="default"/>
        <w:b/>
        <w:color w:val="2F5496" w:themeColor="accent1" w:themeShade="BF"/>
        <w:sz w:val="22"/>
        <w:szCs w:val="28"/>
        <w:u w:val="single"/>
      </w:rPr>
    </w:lvl>
    <w:lvl w:ilvl="2">
      <w:start w:val="1"/>
      <w:numFmt w:val="decimal"/>
      <w:isLgl/>
      <w:lvlText w:val="%1.%2.%3"/>
      <w:lvlJc w:val="left"/>
      <w:pPr>
        <w:ind w:left="1080" w:hanging="720"/>
      </w:pPr>
      <w:rPr>
        <w:rFonts w:hint="default"/>
        <w:b w:val="0"/>
        <w:bCs/>
        <w:color w:val="auto"/>
        <w:u w:val="singl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440" w:hanging="108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1800" w:hanging="1440"/>
      </w:pPr>
      <w:rPr>
        <w:rFonts w:hint="default"/>
        <w:b/>
        <w:u w:val="single"/>
      </w:rPr>
    </w:lvl>
  </w:abstractNum>
  <w:abstractNum w:abstractNumId="1" w15:restartNumberingAfterBreak="0">
    <w:nsid w:val="375D2A9D"/>
    <w:multiLevelType w:val="hybridMultilevel"/>
    <w:tmpl w:val="F12EF042"/>
    <w:lvl w:ilvl="0" w:tplc="B24EF910">
      <w:start w:val="1"/>
      <w:numFmt w:val="bullet"/>
      <w:lvlText w:val="·"/>
      <w:lvlJc w:val="left"/>
      <w:pPr>
        <w:ind w:left="720" w:hanging="360"/>
      </w:pPr>
      <w:rPr>
        <w:rFonts w:ascii="Symbol" w:hAnsi="Symbol" w:hint="default"/>
      </w:rPr>
    </w:lvl>
    <w:lvl w:ilvl="1" w:tplc="847277DE">
      <w:start w:val="1"/>
      <w:numFmt w:val="bullet"/>
      <w:lvlText w:val="o"/>
      <w:lvlJc w:val="left"/>
      <w:pPr>
        <w:ind w:left="1440" w:hanging="360"/>
      </w:pPr>
      <w:rPr>
        <w:rFonts w:ascii="Courier New" w:hAnsi="Courier New" w:hint="default"/>
      </w:rPr>
    </w:lvl>
    <w:lvl w:ilvl="2" w:tplc="11EABBDC">
      <w:start w:val="1"/>
      <w:numFmt w:val="bullet"/>
      <w:lvlText w:val=""/>
      <w:lvlJc w:val="left"/>
      <w:pPr>
        <w:ind w:left="2160" w:hanging="360"/>
      </w:pPr>
      <w:rPr>
        <w:rFonts w:ascii="Wingdings" w:hAnsi="Wingdings" w:hint="default"/>
      </w:rPr>
    </w:lvl>
    <w:lvl w:ilvl="3" w:tplc="6E1CAAD0">
      <w:start w:val="1"/>
      <w:numFmt w:val="bullet"/>
      <w:lvlText w:val=""/>
      <w:lvlJc w:val="left"/>
      <w:pPr>
        <w:ind w:left="2880" w:hanging="360"/>
      </w:pPr>
      <w:rPr>
        <w:rFonts w:ascii="Symbol" w:hAnsi="Symbol" w:hint="default"/>
      </w:rPr>
    </w:lvl>
    <w:lvl w:ilvl="4" w:tplc="7CB46470">
      <w:start w:val="1"/>
      <w:numFmt w:val="bullet"/>
      <w:lvlText w:val="o"/>
      <w:lvlJc w:val="left"/>
      <w:pPr>
        <w:ind w:left="3600" w:hanging="360"/>
      </w:pPr>
      <w:rPr>
        <w:rFonts w:ascii="Courier New" w:hAnsi="Courier New" w:hint="default"/>
      </w:rPr>
    </w:lvl>
    <w:lvl w:ilvl="5" w:tplc="8482E2EA">
      <w:start w:val="1"/>
      <w:numFmt w:val="bullet"/>
      <w:lvlText w:val=""/>
      <w:lvlJc w:val="left"/>
      <w:pPr>
        <w:ind w:left="4320" w:hanging="360"/>
      </w:pPr>
      <w:rPr>
        <w:rFonts w:ascii="Wingdings" w:hAnsi="Wingdings" w:hint="default"/>
      </w:rPr>
    </w:lvl>
    <w:lvl w:ilvl="6" w:tplc="F06CFE44">
      <w:start w:val="1"/>
      <w:numFmt w:val="bullet"/>
      <w:lvlText w:val=""/>
      <w:lvlJc w:val="left"/>
      <w:pPr>
        <w:ind w:left="5040" w:hanging="360"/>
      </w:pPr>
      <w:rPr>
        <w:rFonts w:ascii="Symbol" w:hAnsi="Symbol" w:hint="default"/>
      </w:rPr>
    </w:lvl>
    <w:lvl w:ilvl="7" w:tplc="0A64E110">
      <w:start w:val="1"/>
      <w:numFmt w:val="bullet"/>
      <w:lvlText w:val="o"/>
      <w:lvlJc w:val="left"/>
      <w:pPr>
        <w:ind w:left="5760" w:hanging="360"/>
      </w:pPr>
      <w:rPr>
        <w:rFonts w:ascii="Courier New" w:hAnsi="Courier New" w:hint="default"/>
      </w:rPr>
    </w:lvl>
    <w:lvl w:ilvl="8" w:tplc="D6088FA2">
      <w:start w:val="1"/>
      <w:numFmt w:val="bullet"/>
      <w:lvlText w:val=""/>
      <w:lvlJc w:val="left"/>
      <w:pPr>
        <w:ind w:left="6480" w:hanging="360"/>
      </w:pPr>
      <w:rPr>
        <w:rFonts w:ascii="Wingdings" w:hAnsi="Wingdings" w:hint="default"/>
      </w:rPr>
    </w:lvl>
  </w:abstractNum>
  <w:abstractNum w:abstractNumId="2" w15:restartNumberingAfterBreak="0">
    <w:nsid w:val="4DD529A4"/>
    <w:multiLevelType w:val="hybridMultilevel"/>
    <w:tmpl w:val="88ACD322"/>
    <w:lvl w:ilvl="0" w:tplc="3D98756E">
      <w:start w:val="1"/>
      <w:numFmt w:val="bullet"/>
      <w:lvlText w:val="·"/>
      <w:lvlJc w:val="left"/>
      <w:pPr>
        <w:ind w:left="720" w:hanging="360"/>
      </w:pPr>
      <w:rPr>
        <w:rFonts w:ascii="Symbol" w:hAnsi="Symbol" w:hint="default"/>
      </w:rPr>
    </w:lvl>
    <w:lvl w:ilvl="1" w:tplc="7F322B64">
      <w:start w:val="1"/>
      <w:numFmt w:val="bullet"/>
      <w:lvlText w:val="o"/>
      <w:lvlJc w:val="left"/>
      <w:pPr>
        <w:ind w:left="1440" w:hanging="360"/>
      </w:pPr>
      <w:rPr>
        <w:rFonts w:ascii="Courier New" w:hAnsi="Courier New" w:hint="default"/>
      </w:rPr>
    </w:lvl>
    <w:lvl w:ilvl="2" w:tplc="02FE1BA2">
      <w:start w:val="1"/>
      <w:numFmt w:val="bullet"/>
      <w:lvlText w:val=""/>
      <w:lvlJc w:val="left"/>
      <w:pPr>
        <w:ind w:left="2160" w:hanging="360"/>
      </w:pPr>
      <w:rPr>
        <w:rFonts w:ascii="Wingdings" w:hAnsi="Wingdings" w:hint="default"/>
      </w:rPr>
    </w:lvl>
    <w:lvl w:ilvl="3" w:tplc="88328682">
      <w:start w:val="1"/>
      <w:numFmt w:val="bullet"/>
      <w:lvlText w:val=""/>
      <w:lvlJc w:val="left"/>
      <w:pPr>
        <w:ind w:left="2880" w:hanging="360"/>
      </w:pPr>
      <w:rPr>
        <w:rFonts w:ascii="Symbol" w:hAnsi="Symbol" w:hint="default"/>
      </w:rPr>
    </w:lvl>
    <w:lvl w:ilvl="4" w:tplc="C8423F14">
      <w:start w:val="1"/>
      <w:numFmt w:val="bullet"/>
      <w:lvlText w:val="o"/>
      <w:lvlJc w:val="left"/>
      <w:pPr>
        <w:ind w:left="3600" w:hanging="360"/>
      </w:pPr>
      <w:rPr>
        <w:rFonts w:ascii="Courier New" w:hAnsi="Courier New" w:hint="default"/>
      </w:rPr>
    </w:lvl>
    <w:lvl w:ilvl="5" w:tplc="45146780">
      <w:start w:val="1"/>
      <w:numFmt w:val="bullet"/>
      <w:lvlText w:val=""/>
      <w:lvlJc w:val="left"/>
      <w:pPr>
        <w:ind w:left="4320" w:hanging="360"/>
      </w:pPr>
      <w:rPr>
        <w:rFonts w:ascii="Wingdings" w:hAnsi="Wingdings" w:hint="default"/>
      </w:rPr>
    </w:lvl>
    <w:lvl w:ilvl="6" w:tplc="38CC5D9A">
      <w:start w:val="1"/>
      <w:numFmt w:val="bullet"/>
      <w:lvlText w:val=""/>
      <w:lvlJc w:val="left"/>
      <w:pPr>
        <w:ind w:left="5040" w:hanging="360"/>
      </w:pPr>
      <w:rPr>
        <w:rFonts w:ascii="Symbol" w:hAnsi="Symbol" w:hint="default"/>
      </w:rPr>
    </w:lvl>
    <w:lvl w:ilvl="7" w:tplc="52B67122">
      <w:start w:val="1"/>
      <w:numFmt w:val="bullet"/>
      <w:lvlText w:val="o"/>
      <w:lvlJc w:val="left"/>
      <w:pPr>
        <w:ind w:left="5760" w:hanging="360"/>
      </w:pPr>
      <w:rPr>
        <w:rFonts w:ascii="Courier New" w:hAnsi="Courier New" w:hint="default"/>
      </w:rPr>
    </w:lvl>
    <w:lvl w:ilvl="8" w:tplc="C5D2A53E">
      <w:start w:val="1"/>
      <w:numFmt w:val="bullet"/>
      <w:lvlText w:val=""/>
      <w:lvlJc w:val="left"/>
      <w:pPr>
        <w:ind w:left="6480" w:hanging="360"/>
      </w:pPr>
      <w:rPr>
        <w:rFonts w:ascii="Wingdings" w:hAnsi="Wingdings" w:hint="default"/>
      </w:rPr>
    </w:lvl>
  </w:abstractNum>
  <w:abstractNum w:abstractNumId="3" w15:restartNumberingAfterBreak="0">
    <w:nsid w:val="54DD6AB4"/>
    <w:multiLevelType w:val="hybridMultilevel"/>
    <w:tmpl w:val="A3D6C03A"/>
    <w:lvl w:ilvl="0" w:tplc="EB3C0DCA">
      <w:start w:val="1"/>
      <w:numFmt w:val="decimal"/>
      <w:lvlText w:val="%1."/>
      <w:lvlJc w:val="left"/>
      <w:pPr>
        <w:ind w:left="720" w:hanging="360"/>
      </w:pPr>
    </w:lvl>
    <w:lvl w:ilvl="1" w:tplc="5916247A">
      <w:start w:val="1"/>
      <w:numFmt w:val="lowerLetter"/>
      <w:lvlText w:val="%2."/>
      <w:lvlJc w:val="left"/>
      <w:pPr>
        <w:ind w:left="1440" w:hanging="360"/>
      </w:pPr>
    </w:lvl>
    <w:lvl w:ilvl="2" w:tplc="BF385D10">
      <w:start w:val="1"/>
      <w:numFmt w:val="lowerRoman"/>
      <w:lvlText w:val="%3."/>
      <w:lvlJc w:val="right"/>
      <w:pPr>
        <w:ind w:left="2160" w:hanging="180"/>
      </w:pPr>
    </w:lvl>
    <w:lvl w:ilvl="3" w:tplc="CCD6BF64">
      <w:start w:val="1"/>
      <w:numFmt w:val="decimal"/>
      <w:lvlText w:val="%4."/>
      <w:lvlJc w:val="left"/>
      <w:pPr>
        <w:ind w:left="2880" w:hanging="360"/>
      </w:pPr>
    </w:lvl>
    <w:lvl w:ilvl="4" w:tplc="D7B00060">
      <w:start w:val="1"/>
      <w:numFmt w:val="lowerLetter"/>
      <w:lvlText w:val="%5."/>
      <w:lvlJc w:val="left"/>
      <w:pPr>
        <w:ind w:left="3600" w:hanging="360"/>
      </w:pPr>
    </w:lvl>
    <w:lvl w:ilvl="5" w:tplc="DEECA7AE">
      <w:start w:val="1"/>
      <w:numFmt w:val="lowerRoman"/>
      <w:lvlText w:val="%6."/>
      <w:lvlJc w:val="right"/>
      <w:pPr>
        <w:ind w:left="4320" w:hanging="180"/>
      </w:pPr>
    </w:lvl>
    <w:lvl w:ilvl="6" w:tplc="587CED10">
      <w:start w:val="1"/>
      <w:numFmt w:val="decimal"/>
      <w:lvlText w:val="%7."/>
      <w:lvlJc w:val="left"/>
      <w:pPr>
        <w:ind w:left="5040" w:hanging="360"/>
      </w:pPr>
    </w:lvl>
    <w:lvl w:ilvl="7" w:tplc="37F07ACC">
      <w:start w:val="1"/>
      <w:numFmt w:val="lowerLetter"/>
      <w:lvlText w:val="%8."/>
      <w:lvlJc w:val="left"/>
      <w:pPr>
        <w:ind w:left="5760" w:hanging="360"/>
      </w:pPr>
    </w:lvl>
    <w:lvl w:ilvl="8" w:tplc="47723208">
      <w:start w:val="1"/>
      <w:numFmt w:val="lowerRoman"/>
      <w:lvlText w:val="%9."/>
      <w:lvlJc w:val="right"/>
      <w:pPr>
        <w:ind w:left="6480" w:hanging="180"/>
      </w:pPr>
    </w:lvl>
  </w:abstractNum>
  <w:abstractNum w:abstractNumId="4" w15:restartNumberingAfterBreak="0">
    <w:nsid w:val="73EC7946"/>
    <w:multiLevelType w:val="hybridMultilevel"/>
    <w:tmpl w:val="A670C00C"/>
    <w:lvl w:ilvl="0" w:tplc="01D45E22">
      <w:start w:val="1"/>
      <w:numFmt w:val="bullet"/>
      <w:lvlText w:val="·"/>
      <w:lvlJc w:val="left"/>
      <w:pPr>
        <w:ind w:left="720" w:hanging="360"/>
      </w:pPr>
      <w:rPr>
        <w:rFonts w:ascii="Symbol" w:hAnsi="Symbol" w:hint="default"/>
      </w:rPr>
    </w:lvl>
    <w:lvl w:ilvl="1" w:tplc="C55845D6">
      <w:start w:val="1"/>
      <w:numFmt w:val="bullet"/>
      <w:lvlText w:val="o"/>
      <w:lvlJc w:val="left"/>
      <w:pPr>
        <w:ind w:left="1440" w:hanging="360"/>
      </w:pPr>
      <w:rPr>
        <w:rFonts w:ascii="Courier New" w:hAnsi="Courier New" w:hint="default"/>
      </w:rPr>
    </w:lvl>
    <w:lvl w:ilvl="2" w:tplc="96A0FED6">
      <w:start w:val="1"/>
      <w:numFmt w:val="bullet"/>
      <w:lvlText w:val=""/>
      <w:lvlJc w:val="left"/>
      <w:pPr>
        <w:ind w:left="2160" w:hanging="360"/>
      </w:pPr>
      <w:rPr>
        <w:rFonts w:ascii="Wingdings" w:hAnsi="Wingdings" w:hint="default"/>
      </w:rPr>
    </w:lvl>
    <w:lvl w:ilvl="3" w:tplc="145C918C">
      <w:start w:val="1"/>
      <w:numFmt w:val="bullet"/>
      <w:lvlText w:val=""/>
      <w:lvlJc w:val="left"/>
      <w:pPr>
        <w:ind w:left="2880" w:hanging="360"/>
      </w:pPr>
      <w:rPr>
        <w:rFonts w:ascii="Symbol" w:hAnsi="Symbol" w:hint="default"/>
      </w:rPr>
    </w:lvl>
    <w:lvl w:ilvl="4" w:tplc="54825660">
      <w:start w:val="1"/>
      <w:numFmt w:val="bullet"/>
      <w:lvlText w:val="o"/>
      <w:lvlJc w:val="left"/>
      <w:pPr>
        <w:ind w:left="3600" w:hanging="360"/>
      </w:pPr>
      <w:rPr>
        <w:rFonts w:ascii="Courier New" w:hAnsi="Courier New" w:hint="default"/>
      </w:rPr>
    </w:lvl>
    <w:lvl w:ilvl="5" w:tplc="36384C66">
      <w:start w:val="1"/>
      <w:numFmt w:val="bullet"/>
      <w:lvlText w:val=""/>
      <w:lvlJc w:val="left"/>
      <w:pPr>
        <w:ind w:left="4320" w:hanging="360"/>
      </w:pPr>
      <w:rPr>
        <w:rFonts w:ascii="Wingdings" w:hAnsi="Wingdings" w:hint="default"/>
      </w:rPr>
    </w:lvl>
    <w:lvl w:ilvl="6" w:tplc="6280638C">
      <w:start w:val="1"/>
      <w:numFmt w:val="bullet"/>
      <w:lvlText w:val=""/>
      <w:lvlJc w:val="left"/>
      <w:pPr>
        <w:ind w:left="5040" w:hanging="360"/>
      </w:pPr>
      <w:rPr>
        <w:rFonts w:ascii="Symbol" w:hAnsi="Symbol" w:hint="default"/>
      </w:rPr>
    </w:lvl>
    <w:lvl w:ilvl="7" w:tplc="5BF42AB8">
      <w:start w:val="1"/>
      <w:numFmt w:val="bullet"/>
      <w:lvlText w:val="o"/>
      <w:lvlJc w:val="left"/>
      <w:pPr>
        <w:ind w:left="5760" w:hanging="360"/>
      </w:pPr>
      <w:rPr>
        <w:rFonts w:ascii="Courier New" w:hAnsi="Courier New" w:hint="default"/>
      </w:rPr>
    </w:lvl>
    <w:lvl w:ilvl="8" w:tplc="5D981AE6">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513"/>
    <w:rsid w:val="00137AAD"/>
    <w:rsid w:val="00594C63"/>
    <w:rsid w:val="0083751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963E9"/>
  <w15:chartTrackingRefBased/>
  <w15:docId w15:val="{48D07C12-B3A2-455A-8271-5ABB2C956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7513"/>
    <w:pPr>
      <w:spacing w:after="0" w:line="240" w:lineRule="auto"/>
      <w:jc w:val="both"/>
    </w:pPr>
    <w:rPr>
      <w:rFonts w:ascii="Avenir Next LT Pro Light" w:hAnsi="Avenir Next LT Pro Light"/>
      <w:sz w:val="20"/>
      <w:szCs w:val="24"/>
    </w:rPr>
  </w:style>
  <w:style w:type="paragraph" w:styleId="Ttulo1">
    <w:name w:val="heading 1"/>
    <w:basedOn w:val="Normal"/>
    <w:next w:val="Normal"/>
    <w:link w:val="Ttulo1Car"/>
    <w:uiPriority w:val="9"/>
    <w:qFormat/>
    <w:rsid w:val="00837513"/>
    <w:pPr>
      <w:keepNext/>
      <w:keepLines/>
      <w:numPr>
        <w:numId w:val="5"/>
      </w:numPr>
      <w:spacing w:before="240" w:after="240"/>
      <w:outlineLvl w:val="0"/>
    </w:pPr>
    <w:rPr>
      <w:rFonts w:eastAsiaTheme="majorEastAsia" w:cstheme="majorBidi"/>
      <w:b/>
      <w:caps/>
      <w:color w:val="2F5496" w:themeColor="accent1" w:themeShade="BF"/>
      <w:sz w:val="24"/>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37513"/>
    <w:rPr>
      <w:rFonts w:ascii="Avenir Next LT Pro Light" w:eastAsiaTheme="majorEastAsia" w:hAnsi="Avenir Next LT Pro Light" w:cstheme="majorBidi"/>
      <w:b/>
      <w:caps/>
      <w:color w:val="2F5496" w:themeColor="accent1" w:themeShade="BF"/>
      <w:sz w:val="24"/>
      <w:szCs w:val="32"/>
    </w:rPr>
  </w:style>
  <w:style w:type="paragraph" w:styleId="Prrafodelista">
    <w:name w:val="List Paragraph"/>
    <w:basedOn w:val="Normal"/>
    <w:uiPriority w:val="34"/>
    <w:qFormat/>
    <w:rsid w:val="00837513"/>
    <w:pPr>
      <w:ind w:left="720"/>
      <w:contextualSpacing/>
    </w:pPr>
  </w:style>
  <w:style w:type="character" w:styleId="Hipervnculo">
    <w:name w:val="Hyperlink"/>
    <w:basedOn w:val="Fuentedeprrafopredeter"/>
    <w:uiPriority w:val="99"/>
    <w:unhideWhenUsed/>
    <w:rsid w:val="00837513"/>
    <w:rPr>
      <w:color w:val="0563C1" w:themeColor="hyperlink"/>
      <w:u w:val="single"/>
    </w:rPr>
  </w:style>
  <w:style w:type="paragraph" w:styleId="Encabezado">
    <w:name w:val="header"/>
    <w:basedOn w:val="Normal"/>
    <w:link w:val="EncabezadoCar"/>
    <w:uiPriority w:val="99"/>
    <w:unhideWhenUsed/>
    <w:rsid w:val="00837513"/>
    <w:pPr>
      <w:tabs>
        <w:tab w:val="center" w:pos="4419"/>
        <w:tab w:val="right" w:pos="8838"/>
      </w:tabs>
    </w:pPr>
  </w:style>
  <w:style w:type="character" w:customStyle="1" w:styleId="EncabezadoCar">
    <w:name w:val="Encabezado Car"/>
    <w:basedOn w:val="Fuentedeprrafopredeter"/>
    <w:link w:val="Encabezado"/>
    <w:uiPriority w:val="99"/>
    <w:rsid w:val="00837513"/>
    <w:rPr>
      <w:rFonts w:ascii="Avenir Next LT Pro Light" w:hAnsi="Avenir Next LT Pro Light"/>
      <w:sz w:val="20"/>
      <w:szCs w:val="24"/>
    </w:rPr>
  </w:style>
  <w:style w:type="paragraph" w:styleId="Piedepgina">
    <w:name w:val="footer"/>
    <w:basedOn w:val="Normal"/>
    <w:link w:val="PiedepginaCar"/>
    <w:uiPriority w:val="99"/>
    <w:unhideWhenUsed/>
    <w:rsid w:val="00837513"/>
    <w:pPr>
      <w:tabs>
        <w:tab w:val="center" w:pos="4419"/>
        <w:tab w:val="right" w:pos="8838"/>
      </w:tabs>
    </w:pPr>
  </w:style>
  <w:style w:type="character" w:customStyle="1" w:styleId="PiedepginaCar">
    <w:name w:val="Pie de página Car"/>
    <w:basedOn w:val="Fuentedeprrafopredeter"/>
    <w:link w:val="Piedepgina"/>
    <w:uiPriority w:val="99"/>
    <w:rsid w:val="00837513"/>
    <w:rPr>
      <w:rFonts w:ascii="Avenir Next LT Pro Light" w:hAnsi="Avenir Next LT Pro Light"/>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sc-word-edit.officeapps.live.com/we/wordeditorframe.aspx?ui=es-es&amp;rs=es-es&amp;wopisrc=https%3A%2F%2Fcrmisalud-my.sharepoint.com%2Fpersonal%2Fmelissa_ramirez_misalud_go_cr%2F_vti_bin%2Fwopi.ashx%2Ffiles%2Fc759eeba34714757ae0485d21a0ff1ec&amp;wdenableroaming=1&amp;mscc=1&amp;wdodb=1&amp;hid=0b04e6d6-7ded-c675-cbbf-befe16527f2e-4680&amp;uiembed=1&amp;uih=teams&amp;uihit=files&amp;hhdr=1&amp;dchat=1&amp;sc=%7B%22pmo%22%3A%22https%3A%2F%2Fteams.microsoft.com%22%2C%22pmshare%22%3Atrue%2C%22surl%22%3A%22%22%2C%22curl%22%3A%22%22%2C%22vurl%22%3A%22%22%2C%22eurl%22%3A%22https%3A%2F%2Fteams.microsoft.com%2Ffiles%2Fapps%2Fcom.microsoft.teams.files%2Ffiles%2F2440459368%2Fopen%3Fagent%3Dpostmessage%26objectUrl%3Dhttps%253A%252F%252Fcrmisalud-my.sharepoint.com%252Fpersonal%252Fmelissa_ramirez_misalud_go_cr%252FDocuments%252FArchivos%2520de%2520chat%2520de%2520Microsoft%2520Teams%252FLS-VS-015%2520Procedimiento%2520Obtener%2520Documento%2520de%2520Certificado%2520%2520de%2520Vacunacion%2520COVID-19%2520(3).docx%26fileId%3Dc759eeba-3471-4757-ae04-85d21a0ff1ec%26fileType%3Ddocx%26ctx%3Dbim%26scenarioId%3D4680%26locale%3Des-es%26theme%3Ddefault%26version%3D21072105700%26setting%3Dring.id%3Ageneral%26setting%3DcreatedTime%3A1636673767169%22%7D&amp;wdorigin=TEAMS-ELECTRON.p2p_ns.bim&amp;wdhostclicktime=1636673767088&amp;jsapi=1&amp;jsapiver=v1&amp;newsession=1&amp;corrid=df437188-5517-4a37-902a-63d770fccba0&amp;usid=df437188-5517-4a37-902a-63d770fccba0&amp;sftc=1&amp;sams=1&amp;accloop=1&amp;sdr=6&amp;scnd=1&amp;hbcv=1&amp;htv=1&amp;hodflp=1&amp;instantedit=1&amp;wopicomplete=1&amp;wdredirectionreason=Unified_SingleFlush&amp;rct=Medium&amp;ctp=LeastProtected" TargetMode="External"/><Relationship Id="rId3" Type="http://schemas.openxmlformats.org/officeDocument/2006/relationships/settings" Target="settings.xml"/><Relationship Id="rId7" Type="http://schemas.openxmlformats.org/officeDocument/2006/relationships/hyperlink" Target="https://www.cdc.gov/aging/covid19/covid19-older-adults.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certificado.sinvacuna@misalud.go.c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1795</Words>
  <Characters>9878</Characters>
  <Application>Microsoft Office Word</Application>
  <DocSecurity>0</DocSecurity>
  <Lines>82</Lines>
  <Paragraphs>23</Paragraphs>
  <ScaleCrop>false</ScaleCrop>
  <Company/>
  <LinksUpToDate>false</LinksUpToDate>
  <CharactersWithSpaces>11650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Ramírez Rojas</dc:creator>
  <cp:keywords/>
  <dc:description/>
  <cp:lastModifiedBy>Melissa Ramírez Rojas</cp:lastModifiedBy>
  <cp:revision>1</cp:revision>
  <dcterms:created xsi:type="dcterms:W3CDTF">2021-11-12T19:00:00Z</dcterms:created>
  <dcterms:modified xsi:type="dcterms:W3CDTF">2021-11-12T19:03:00Z</dcterms:modified>
</cp:coreProperties>
</file>